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2476" w:rsidRPr="001D72CC" w:rsidRDefault="00E23300" w:rsidP="00CD009F">
      <w:pPr>
        <w:pStyle w:val="Title"/>
        <w:rPr>
          <w:b/>
        </w:rPr>
      </w:pPr>
      <w:bookmarkStart w:id="0" w:name="OLE_LINK7"/>
      <w:bookmarkStart w:id="1" w:name="OLE_LINK8"/>
      <w:r>
        <w:rPr>
          <w:b/>
        </w:rPr>
        <w:t>Pearce Community Centre</w:t>
      </w:r>
    </w:p>
    <w:p w:rsidR="00CD009F" w:rsidRPr="001D72CC" w:rsidRDefault="00393537" w:rsidP="00CD009F">
      <w:pPr>
        <w:pStyle w:val="Subtitle"/>
        <w:rPr>
          <w:sz w:val="24"/>
        </w:rPr>
      </w:pPr>
      <w:bookmarkStart w:id="2" w:name="OLE_LINK9"/>
      <w:bookmarkStart w:id="3" w:name="OLE_LINK10"/>
      <w:bookmarkEnd w:id="0"/>
      <w:bookmarkEnd w:id="1"/>
      <w:r>
        <w:rPr>
          <w:sz w:val="24"/>
        </w:rPr>
        <w:t>4</w:t>
      </w:r>
      <w:r>
        <w:rPr>
          <w:sz w:val="24"/>
          <w:vertAlign w:val="superscript"/>
        </w:rPr>
        <w:t>th</w:t>
      </w:r>
      <w:r w:rsidR="00F113B2">
        <w:rPr>
          <w:sz w:val="24"/>
        </w:rPr>
        <w:t xml:space="preserve"> </w:t>
      </w:r>
      <w:r w:rsidR="00CD009F" w:rsidRPr="001D72CC">
        <w:rPr>
          <w:sz w:val="24"/>
        </w:rPr>
        <w:t>Quarterly Energy Report</w:t>
      </w:r>
      <w:bookmarkEnd w:id="2"/>
      <w:bookmarkEnd w:id="3"/>
      <w:r w:rsidR="00CD009F" w:rsidRPr="001D72CC">
        <w:rPr>
          <w:sz w:val="24"/>
        </w:rPr>
        <w:t xml:space="preserve"> – </w:t>
      </w:r>
      <w:r>
        <w:rPr>
          <w:sz w:val="24"/>
        </w:rPr>
        <w:t>January 2015</w:t>
      </w:r>
      <w:r w:rsidR="00CD009F" w:rsidRPr="001D72CC">
        <w:rPr>
          <w:sz w:val="24"/>
        </w:rPr>
        <w:t xml:space="preserve"> to </w:t>
      </w:r>
      <w:r>
        <w:rPr>
          <w:sz w:val="24"/>
        </w:rPr>
        <w:t>March 2015</w:t>
      </w:r>
    </w:p>
    <w:p w:rsidR="00CD009F" w:rsidRPr="001D72CC" w:rsidRDefault="00CD009F" w:rsidP="00CD009F">
      <w:pPr>
        <w:pStyle w:val="Heading1"/>
        <w:rPr>
          <w:b/>
          <w:u w:val="single"/>
        </w:rPr>
      </w:pPr>
      <w:r w:rsidRPr="001D72CC">
        <w:rPr>
          <w:b/>
          <w:u w:val="single"/>
        </w:rPr>
        <w:t>Introduction</w:t>
      </w:r>
    </w:p>
    <w:p w:rsidR="00CD009F" w:rsidRDefault="00CD009F" w:rsidP="00CD009F">
      <w:r>
        <w:t>This report summarises the energy saving results to date for</w:t>
      </w:r>
      <w:r w:rsidR="00B55272">
        <w:t xml:space="preserve"> </w:t>
      </w:r>
      <w:r w:rsidR="00E23300">
        <w:t>the Pearce Community Centre</w:t>
      </w:r>
      <w:r>
        <w:t>. The site is</w:t>
      </w:r>
      <w:r w:rsidR="00F113B2">
        <w:t xml:space="preserve"> now </w:t>
      </w:r>
      <w:r w:rsidR="00393537">
        <w:t>at the end of</w:t>
      </w:r>
      <w:r>
        <w:t xml:space="preserve"> its 12 month monitoring period.</w:t>
      </w:r>
    </w:p>
    <w:p w:rsidR="00A936B9" w:rsidRPr="00990CC1" w:rsidRDefault="00A936B9" w:rsidP="00A936B9">
      <w:r w:rsidRPr="001D72CC">
        <w:t>F</w:t>
      </w:r>
      <w:r>
        <w:t>or the first 12</w:t>
      </w:r>
      <w:r w:rsidRPr="001D72CC">
        <w:t xml:space="preserve"> months since the CEEP upgrade works, the site has reduced i</w:t>
      </w:r>
      <w:r>
        <w:t>ts electricity consumption by 38</w:t>
      </w:r>
      <w:r w:rsidRPr="001D72CC">
        <w:t>% and gas c</w:t>
      </w:r>
      <w:r>
        <w:t>onsumption by 17</w:t>
      </w:r>
      <w:r w:rsidRPr="001D72CC">
        <w:t>% (compared to the baseline period).</w:t>
      </w:r>
      <w:r>
        <w:t xml:space="preserve"> Although the gas savings have been significant, the saving is below what was forecast for this site. To further improve the efficiency of the gas heating, ACT Property group are currently installing upgrades to the boiler in the plant room.</w:t>
      </w:r>
    </w:p>
    <w:p w:rsidR="00CD009F" w:rsidRPr="001D72CC" w:rsidRDefault="00CD009F" w:rsidP="00CD009F">
      <w:pPr>
        <w:pStyle w:val="Heading1"/>
        <w:rPr>
          <w:b/>
          <w:u w:val="single"/>
        </w:rPr>
      </w:pPr>
      <w:r w:rsidRPr="001D72CC">
        <w:rPr>
          <w:b/>
          <w:u w:val="single"/>
        </w:rPr>
        <w:t>Results</w:t>
      </w:r>
    </w:p>
    <w:p w:rsidR="00724AEF" w:rsidRDefault="00724AEF" w:rsidP="00A60842">
      <w:pPr>
        <w:pStyle w:val="Caption"/>
        <w:keepNext/>
        <w:spacing w:after="0"/>
        <w:jc w:val="center"/>
      </w:pPr>
      <w:r>
        <w:t xml:space="preserve">Table </w:t>
      </w:r>
      <w:fldSimple w:instr=" SEQ Table \* ARABIC ">
        <w:r w:rsidR="00A936B9">
          <w:rPr>
            <w:noProof/>
          </w:rPr>
          <w:t>1</w:t>
        </w:r>
      </w:fldSimple>
      <w:r w:rsidR="00393537">
        <w:t>: Energy savings to date (12 months</w:t>
      </w:r>
      <w:r>
        <w:t>)</w:t>
      </w:r>
    </w:p>
    <w:tbl>
      <w:tblPr>
        <w:tblStyle w:val="TableGrid"/>
        <w:tblW w:w="0" w:type="auto"/>
        <w:tblLook w:val="04A0"/>
      </w:tblPr>
      <w:tblGrid>
        <w:gridCol w:w="2254"/>
        <w:gridCol w:w="2254"/>
        <w:gridCol w:w="2254"/>
        <w:gridCol w:w="2254"/>
      </w:tblGrid>
      <w:tr w:rsidR="00CD009F" w:rsidTr="00F920E3">
        <w:trPr>
          <w:trHeight w:val="567"/>
          <w:tblHeader/>
        </w:trPr>
        <w:tc>
          <w:tcPr>
            <w:tcW w:w="2254" w:type="dxa"/>
            <w:vAlign w:val="center"/>
          </w:tcPr>
          <w:p w:rsidR="00CD009F" w:rsidRPr="00724AEF" w:rsidRDefault="00965E04" w:rsidP="00A60842">
            <w:pPr>
              <w:jc w:val="center"/>
              <w:rPr>
                <w:b/>
              </w:rPr>
            </w:pPr>
            <w:r w:rsidRPr="00724AEF">
              <w:rPr>
                <w:b/>
              </w:rPr>
              <w:t>Fuel Type</w:t>
            </w:r>
          </w:p>
        </w:tc>
        <w:tc>
          <w:tcPr>
            <w:tcW w:w="2254" w:type="dxa"/>
            <w:vAlign w:val="center"/>
          </w:tcPr>
          <w:p w:rsidR="00CD009F" w:rsidRPr="00724AEF" w:rsidRDefault="00CD009F" w:rsidP="00A60842">
            <w:pPr>
              <w:jc w:val="center"/>
              <w:rPr>
                <w:b/>
              </w:rPr>
            </w:pPr>
            <w:r w:rsidRPr="00724AEF">
              <w:rPr>
                <w:b/>
              </w:rPr>
              <w:t>Baseline period</w:t>
            </w:r>
          </w:p>
        </w:tc>
        <w:tc>
          <w:tcPr>
            <w:tcW w:w="2254" w:type="dxa"/>
            <w:vAlign w:val="center"/>
          </w:tcPr>
          <w:p w:rsidR="00CD009F" w:rsidRPr="00724AEF" w:rsidRDefault="00CD009F" w:rsidP="00A60842">
            <w:pPr>
              <w:jc w:val="center"/>
              <w:rPr>
                <w:b/>
              </w:rPr>
            </w:pPr>
            <w:r w:rsidRPr="00724AEF">
              <w:rPr>
                <w:b/>
              </w:rPr>
              <w:t>Current period</w:t>
            </w:r>
          </w:p>
        </w:tc>
        <w:tc>
          <w:tcPr>
            <w:tcW w:w="2254" w:type="dxa"/>
            <w:vAlign w:val="center"/>
          </w:tcPr>
          <w:p w:rsidR="00CD009F" w:rsidRPr="00724AEF" w:rsidRDefault="00CD009F" w:rsidP="00A60842">
            <w:pPr>
              <w:jc w:val="center"/>
              <w:rPr>
                <w:b/>
              </w:rPr>
            </w:pPr>
            <w:r w:rsidRPr="00724AEF">
              <w:rPr>
                <w:b/>
              </w:rPr>
              <w:t>Saving achieved to date</w:t>
            </w:r>
          </w:p>
        </w:tc>
      </w:tr>
      <w:tr w:rsidR="00CD009F" w:rsidTr="00A60842">
        <w:trPr>
          <w:trHeight w:val="567"/>
        </w:trPr>
        <w:tc>
          <w:tcPr>
            <w:tcW w:w="2254" w:type="dxa"/>
            <w:vAlign w:val="center"/>
          </w:tcPr>
          <w:p w:rsidR="00CD009F" w:rsidRDefault="00724AEF" w:rsidP="00A60842">
            <w:pPr>
              <w:jc w:val="center"/>
            </w:pPr>
            <w:r>
              <w:t>Electricity</w:t>
            </w:r>
          </w:p>
        </w:tc>
        <w:tc>
          <w:tcPr>
            <w:tcW w:w="2254" w:type="dxa"/>
            <w:vAlign w:val="center"/>
          </w:tcPr>
          <w:p w:rsidR="00CD009F" w:rsidRDefault="00E23300" w:rsidP="00F113B2">
            <w:pPr>
              <w:jc w:val="center"/>
            </w:pPr>
            <w:r>
              <w:t>187,932</w:t>
            </w:r>
            <w:r w:rsidR="00724AEF">
              <w:t xml:space="preserve"> kWh</w:t>
            </w:r>
          </w:p>
        </w:tc>
        <w:tc>
          <w:tcPr>
            <w:tcW w:w="2254" w:type="dxa"/>
            <w:vAlign w:val="center"/>
          </w:tcPr>
          <w:p w:rsidR="00CD009F" w:rsidRDefault="00E23300" w:rsidP="00A60842">
            <w:pPr>
              <w:jc w:val="center"/>
            </w:pPr>
            <w:r>
              <w:t>115</w:t>
            </w:r>
            <w:r w:rsidR="00B55272">
              <w:t>,</w:t>
            </w:r>
            <w:r>
              <w:t>741</w:t>
            </w:r>
            <w:r w:rsidR="00724AEF">
              <w:t xml:space="preserve"> kWh</w:t>
            </w:r>
          </w:p>
        </w:tc>
        <w:tc>
          <w:tcPr>
            <w:tcW w:w="2254" w:type="dxa"/>
            <w:vAlign w:val="center"/>
          </w:tcPr>
          <w:p w:rsidR="00CD009F" w:rsidRDefault="00E23300" w:rsidP="00A60842">
            <w:pPr>
              <w:jc w:val="center"/>
            </w:pPr>
            <w:r>
              <w:t>72,191</w:t>
            </w:r>
            <w:r w:rsidR="00724AEF">
              <w:t xml:space="preserve"> kWh</w:t>
            </w:r>
          </w:p>
        </w:tc>
      </w:tr>
      <w:tr w:rsidR="00CD009F" w:rsidTr="00A60842">
        <w:trPr>
          <w:trHeight w:val="567"/>
        </w:trPr>
        <w:tc>
          <w:tcPr>
            <w:tcW w:w="2254" w:type="dxa"/>
            <w:vAlign w:val="center"/>
          </w:tcPr>
          <w:p w:rsidR="00CD009F" w:rsidRDefault="00724AEF" w:rsidP="00A60842">
            <w:pPr>
              <w:jc w:val="center"/>
            </w:pPr>
            <w:r>
              <w:t>Gas</w:t>
            </w:r>
          </w:p>
        </w:tc>
        <w:tc>
          <w:tcPr>
            <w:tcW w:w="2254" w:type="dxa"/>
            <w:vAlign w:val="center"/>
          </w:tcPr>
          <w:p w:rsidR="00CD009F" w:rsidRDefault="00E23300" w:rsidP="00A60842">
            <w:pPr>
              <w:jc w:val="center"/>
            </w:pPr>
            <w:r>
              <w:t>967,684</w:t>
            </w:r>
            <w:r w:rsidR="00724AEF">
              <w:t xml:space="preserve"> MJ</w:t>
            </w:r>
          </w:p>
        </w:tc>
        <w:tc>
          <w:tcPr>
            <w:tcW w:w="2254" w:type="dxa"/>
            <w:vAlign w:val="center"/>
          </w:tcPr>
          <w:p w:rsidR="00CD009F" w:rsidRDefault="00E23300" w:rsidP="00A60842">
            <w:pPr>
              <w:jc w:val="center"/>
            </w:pPr>
            <w:r>
              <w:t>801,</w:t>
            </w:r>
            <w:r w:rsidR="00B55272">
              <w:t>0</w:t>
            </w:r>
            <w:r>
              <w:t>70</w:t>
            </w:r>
            <w:r w:rsidR="00724AEF">
              <w:t xml:space="preserve"> MJ</w:t>
            </w:r>
          </w:p>
        </w:tc>
        <w:tc>
          <w:tcPr>
            <w:tcW w:w="2254" w:type="dxa"/>
            <w:vAlign w:val="center"/>
          </w:tcPr>
          <w:p w:rsidR="00CD009F" w:rsidRDefault="00E23300" w:rsidP="00A60842">
            <w:pPr>
              <w:jc w:val="center"/>
            </w:pPr>
            <w:r>
              <w:t>166,615</w:t>
            </w:r>
            <w:r w:rsidR="00724AEF">
              <w:t xml:space="preserve"> MJ</w:t>
            </w:r>
          </w:p>
        </w:tc>
      </w:tr>
    </w:tbl>
    <w:p w:rsidR="00CD009F" w:rsidRDefault="00CD009F" w:rsidP="00CD009F"/>
    <w:p w:rsidR="00724AEF" w:rsidRDefault="00724AEF" w:rsidP="00A60842">
      <w:pPr>
        <w:pStyle w:val="Caption"/>
        <w:keepNext/>
        <w:spacing w:after="0"/>
        <w:jc w:val="center"/>
      </w:pPr>
      <w:r>
        <w:t xml:space="preserve">Table </w:t>
      </w:r>
      <w:fldSimple w:instr=" SEQ Table \* ARABIC ">
        <w:r w:rsidR="00A936B9">
          <w:rPr>
            <w:noProof/>
          </w:rPr>
          <w:t>2</w:t>
        </w:r>
      </w:fldSimple>
      <w:r>
        <w:t>: Other savings to date</w:t>
      </w:r>
    </w:p>
    <w:tbl>
      <w:tblPr>
        <w:tblStyle w:val="TableGrid"/>
        <w:tblW w:w="0" w:type="auto"/>
        <w:jc w:val="center"/>
        <w:tblLook w:val="04A0"/>
      </w:tblPr>
      <w:tblGrid>
        <w:gridCol w:w="3397"/>
        <w:gridCol w:w="3261"/>
      </w:tblGrid>
      <w:tr w:rsidR="00724AEF" w:rsidTr="00F920E3">
        <w:trPr>
          <w:trHeight w:val="567"/>
          <w:tblHeader/>
          <w:jc w:val="center"/>
        </w:trPr>
        <w:tc>
          <w:tcPr>
            <w:tcW w:w="3397" w:type="dxa"/>
            <w:vAlign w:val="center"/>
          </w:tcPr>
          <w:p w:rsidR="00724AEF" w:rsidRPr="00724AEF" w:rsidRDefault="00724AEF" w:rsidP="00A60842">
            <w:pPr>
              <w:jc w:val="center"/>
              <w:rPr>
                <w:b/>
              </w:rPr>
            </w:pPr>
            <w:r w:rsidRPr="00724AEF">
              <w:rPr>
                <w:b/>
              </w:rPr>
              <w:t>Category</w:t>
            </w:r>
          </w:p>
        </w:tc>
        <w:tc>
          <w:tcPr>
            <w:tcW w:w="3261" w:type="dxa"/>
            <w:vAlign w:val="center"/>
          </w:tcPr>
          <w:p w:rsidR="00724AEF" w:rsidRPr="00724AEF" w:rsidRDefault="00724AEF" w:rsidP="00A60842">
            <w:pPr>
              <w:jc w:val="center"/>
              <w:rPr>
                <w:b/>
              </w:rPr>
            </w:pPr>
            <w:r w:rsidRPr="00724AEF">
              <w:rPr>
                <w:b/>
              </w:rPr>
              <w:t>Saving</w:t>
            </w:r>
          </w:p>
        </w:tc>
      </w:tr>
      <w:tr w:rsidR="00724AEF" w:rsidTr="00A60842">
        <w:trPr>
          <w:trHeight w:val="567"/>
          <w:jc w:val="center"/>
        </w:trPr>
        <w:tc>
          <w:tcPr>
            <w:tcW w:w="3397" w:type="dxa"/>
            <w:vAlign w:val="center"/>
          </w:tcPr>
          <w:p w:rsidR="00724AEF" w:rsidRDefault="00724AEF" w:rsidP="00A60842">
            <w:pPr>
              <w:jc w:val="center"/>
            </w:pPr>
            <w:r>
              <w:t>Estimated Greenhouse Gas Saving</w:t>
            </w:r>
          </w:p>
        </w:tc>
        <w:tc>
          <w:tcPr>
            <w:tcW w:w="3261" w:type="dxa"/>
            <w:vAlign w:val="center"/>
          </w:tcPr>
          <w:p w:rsidR="00724AEF" w:rsidRPr="00724AEF" w:rsidRDefault="00E23300" w:rsidP="00A60842">
            <w:pPr>
              <w:jc w:val="center"/>
            </w:pPr>
            <w:r>
              <w:t>88</w:t>
            </w:r>
            <w:r w:rsidR="00724AEF">
              <w:t xml:space="preserve"> tonnes of CO</w:t>
            </w:r>
            <w:r w:rsidR="00724AEF">
              <w:rPr>
                <w:vertAlign w:val="subscript"/>
              </w:rPr>
              <w:t>2</w:t>
            </w:r>
            <w:r w:rsidR="00724AEF">
              <w:t xml:space="preserve"> equivalent</w:t>
            </w:r>
          </w:p>
        </w:tc>
      </w:tr>
      <w:tr w:rsidR="00724AEF" w:rsidTr="00A60842">
        <w:trPr>
          <w:trHeight w:val="567"/>
          <w:jc w:val="center"/>
        </w:trPr>
        <w:tc>
          <w:tcPr>
            <w:tcW w:w="3397" w:type="dxa"/>
            <w:vAlign w:val="center"/>
          </w:tcPr>
          <w:p w:rsidR="00724AEF" w:rsidRDefault="00724AEF" w:rsidP="00A60842">
            <w:pPr>
              <w:jc w:val="center"/>
            </w:pPr>
            <w:r>
              <w:t>Estimated Financial Saving</w:t>
            </w:r>
          </w:p>
        </w:tc>
        <w:tc>
          <w:tcPr>
            <w:tcW w:w="3261" w:type="dxa"/>
            <w:vAlign w:val="center"/>
          </w:tcPr>
          <w:p w:rsidR="00724AEF" w:rsidRDefault="00E23300" w:rsidP="00A60842">
            <w:pPr>
              <w:jc w:val="center"/>
            </w:pPr>
            <w:r>
              <w:t>$19,75</w:t>
            </w:r>
            <w:r w:rsidR="00B55272">
              <w:t>5</w:t>
            </w:r>
          </w:p>
        </w:tc>
      </w:tr>
    </w:tbl>
    <w:p w:rsidR="007D7CD3" w:rsidRDefault="007D7CD3" w:rsidP="007D7CD3">
      <w:pPr>
        <w:rPr>
          <w:b/>
          <w:bCs/>
          <w:color w:val="000000"/>
        </w:rPr>
      </w:pPr>
    </w:p>
    <w:p w:rsidR="007D7CD3" w:rsidRDefault="007D7CD3" w:rsidP="007D7CD3">
      <w:pPr>
        <w:rPr>
          <w:b/>
          <w:bCs/>
          <w:color w:val="000000"/>
        </w:rPr>
      </w:pPr>
      <w:r>
        <w:rPr>
          <w:b/>
          <w:bCs/>
          <w:color w:val="000000"/>
        </w:rPr>
        <w:t>Building tenant energy saving tips</w:t>
      </w:r>
    </w:p>
    <w:p w:rsidR="007D7CD3" w:rsidRDefault="007D7CD3" w:rsidP="007D7CD3">
      <w:pPr>
        <w:rPr>
          <w:color w:val="000000"/>
        </w:rPr>
      </w:pPr>
      <w:r>
        <w:rPr>
          <w:color w:val="000000"/>
        </w:rPr>
        <w:t>Recommendations for tenants to further improve on building energy efficiencies and increase energy cost savings:-</w:t>
      </w:r>
    </w:p>
    <w:p w:rsidR="007D7CD3" w:rsidRDefault="007D7CD3" w:rsidP="007D7CD3">
      <w:pPr>
        <w:pStyle w:val="ListParagraph"/>
        <w:numPr>
          <w:ilvl w:val="0"/>
          <w:numId w:val="2"/>
        </w:numPr>
        <w:spacing w:after="0" w:line="240" w:lineRule="auto"/>
        <w:contextualSpacing w:val="0"/>
        <w:rPr>
          <w:color w:val="000000"/>
        </w:rPr>
      </w:pPr>
      <w:r>
        <w:rPr>
          <w:color w:val="000000"/>
        </w:rPr>
        <w:t>Shut down office equipment and appliances when not in use, particularly overnight and on weekends.</w:t>
      </w:r>
    </w:p>
    <w:p w:rsidR="007D7CD3" w:rsidRPr="008F17F1" w:rsidRDefault="007D7CD3" w:rsidP="007D7CD3">
      <w:pPr>
        <w:pStyle w:val="ListParagraph"/>
        <w:numPr>
          <w:ilvl w:val="0"/>
          <w:numId w:val="2"/>
        </w:numPr>
        <w:spacing w:after="0" w:line="240" w:lineRule="auto"/>
        <w:rPr>
          <w:color w:val="000000"/>
        </w:rPr>
      </w:pPr>
      <w:r>
        <w:rPr>
          <w:color w:val="000000"/>
        </w:rPr>
        <w:t>Switch off e</w:t>
      </w:r>
      <w:r w:rsidRPr="008F17F1">
        <w:rPr>
          <w:color w:val="000000"/>
        </w:rPr>
        <w:t>quipment at power source.</w:t>
      </w:r>
    </w:p>
    <w:p w:rsidR="007D7CD3" w:rsidRDefault="007D7CD3" w:rsidP="007D7CD3">
      <w:pPr>
        <w:rPr>
          <w:color w:val="000000"/>
        </w:rPr>
      </w:pPr>
    </w:p>
    <w:p w:rsidR="007D7CD3" w:rsidRDefault="007D7CD3" w:rsidP="007D7CD3">
      <w:pPr>
        <w:rPr>
          <w:color w:val="000000"/>
        </w:rPr>
      </w:pPr>
      <w:r>
        <w:rPr>
          <w:color w:val="000000"/>
        </w:rPr>
        <w:t>Equipment includes but is not limited to the following:</w:t>
      </w:r>
    </w:p>
    <w:p w:rsidR="007D7CD3" w:rsidRDefault="007D7CD3" w:rsidP="007D7CD3">
      <w:pPr>
        <w:pStyle w:val="ListParagraph"/>
        <w:numPr>
          <w:ilvl w:val="0"/>
          <w:numId w:val="3"/>
        </w:numPr>
        <w:spacing w:after="0" w:line="240" w:lineRule="auto"/>
        <w:contextualSpacing w:val="0"/>
        <w:rPr>
          <w:color w:val="000000"/>
        </w:rPr>
      </w:pPr>
      <w:r>
        <w:rPr>
          <w:color w:val="000000"/>
        </w:rPr>
        <w:t>Personal computers and laptops</w:t>
      </w:r>
    </w:p>
    <w:p w:rsidR="007D7CD3" w:rsidRDefault="007D7CD3" w:rsidP="007D7CD3">
      <w:pPr>
        <w:pStyle w:val="ListParagraph"/>
        <w:numPr>
          <w:ilvl w:val="0"/>
          <w:numId w:val="3"/>
        </w:numPr>
        <w:spacing w:after="0" w:line="240" w:lineRule="auto"/>
        <w:contextualSpacing w:val="0"/>
        <w:rPr>
          <w:color w:val="000000"/>
        </w:rPr>
      </w:pPr>
      <w:r>
        <w:rPr>
          <w:color w:val="000000"/>
        </w:rPr>
        <w:t>Multi functional devices (MFD)</w:t>
      </w:r>
    </w:p>
    <w:p w:rsidR="007D7CD3" w:rsidRDefault="007D7CD3" w:rsidP="007D7CD3">
      <w:pPr>
        <w:pStyle w:val="ListParagraph"/>
        <w:numPr>
          <w:ilvl w:val="0"/>
          <w:numId w:val="3"/>
        </w:numPr>
        <w:spacing w:after="0" w:line="240" w:lineRule="auto"/>
        <w:contextualSpacing w:val="0"/>
        <w:rPr>
          <w:color w:val="000000"/>
        </w:rPr>
      </w:pPr>
      <w:r>
        <w:rPr>
          <w:color w:val="000000"/>
        </w:rPr>
        <w:t>IT Server.</w:t>
      </w:r>
    </w:p>
    <w:sectPr w:rsidR="007D7CD3" w:rsidSect="008669F9">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795A" w:rsidRDefault="000C795A" w:rsidP="00A60842">
      <w:pPr>
        <w:spacing w:after="0" w:line="240" w:lineRule="auto"/>
      </w:pPr>
      <w:r>
        <w:separator/>
      </w:r>
    </w:p>
  </w:endnote>
  <w:endnote w:type="continuationSeparator" w:id="0">
    <w:p w:rsidR="000C795A" w:rsidRDefault="000C795A" w:rsidP="00A608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842" w:rsidRDefault="00A60842" w:rsidP="00A60842">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795A" w:rsidRDefault="000C795A" w:rsidP="00A60842">
      <w:pPr>
        <w:spacing w:after="0" w:line="240" w:lineRule="auto"/>
      </w:pPr>
      <w:r>
        <w:separator/>
      </w:r>
    </w:p>
  </w:footnote>
  <w:footnote w:type="continuationSeparator" w:id="0">
    <w:p w:rsidR="000C795A" w:rsidRDefault="000C795A" w:rsidP="00A608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842" w:rsidRDefault="00A60842" w:rsidP="00A60842">
    <w:pPr>
      <w:pStyle w:val="Header"/>
    </w:pPr>
    <w:r>
      <w:rPr>
        <w:noProof/>
        <w:color w:val="FF0000"/>
        <w:lang w:eastAsia="en-AU"/>
      </w:rPr>
      <w:drawing>
        <wp:inline distT="0" distB="0" distL="0" distR="0">
          <wp:extent cx="2001520" cy="758825"/>
          <wp:effectExtent l="0" t="0" r="0" b="3175"/>
          <wp:docPr id="2" name="Picture 2" descr="ACT Government &#10;Demartment of Cheif Minister, Treasury and Economic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hn Mudie\Documents\CEEP\header.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01520" cy="758825"/>
                  </a:xfrm>
                  <a:prstGeom prst="rect">
                    <a:avLst/>
                  </a:prstGeom>
                  <a:noFill/>
                  <a:ln>
                    <a:noFill/>
                  </a:ln>
                </pic:spPr>
              </pic:pic>
            </a:graphicData>
          </a:graphic>
        </wp:inline>
      </w:drawing>
    </w:r>
    <w:r>
      <w:tab/>
    </w:r>
    <w:r>
      <w:tab/>
    </w:r>
    <w:r>
      <w:rPr>
        <w:noProof/>
        <w:lang w:eastAsia="en-AU"/>
      </w:rPr>
      <w:drawing>
        <wp:inline distT="0" distB="0" distL="0" distR="0">
          <wp:extent cx="2095200" cy="759600"/>
          <wp:effectExtent l="0" t="0" r="635" b="2540"/>
          <wp:docPr id="7" name="Picture 7" descr="Energy Action Lt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ergy Action RGB.png"/>
                  <pic:cNvPicPr/>
                </pic:nvPicPr>
                <pic:blipFill>
                  <a:blip r:embed="rId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095200" cy="759600"/>
                  </a:xfrm>
                  <a:prstGeom prst="rect">
                    <a:avLst/>
                  </a:prstGeom>
                </pic:spPr>
              </pic:pic>
            </a:graphicData>
          </a:graphic>
        </wp:inline>
      </w:drawing>
    </w:r>
  </w:p>
  <w:p w:rsidR="001D72CC" w:rsidRDefault="001D72CC" w:rsidP="00A6084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5339BB"/>
    <w:multiLevelType w:val="hybridMultilevel"/>
    <w:tmpl w:val="0C624B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664D69EE"/>
    <w:multiLevelType w:val="hybridMultilevel"/>
    <w:tmpl w:val="945C3684"/>
    <w:lvl w:ilvl="0" w:tplc="224C2786">
      <w:start w:val="408"/>
      <w:numFmt w:val="bullet"/>
      <w:lvlText w:val=""/>
      <w:lvlJc w:val="left"/>
      <w:pPr>
        <w:ind w:left="720" w:hanging="360"/>
      </w:pPr>
      <w:rPr>
        <w:rFonts w:ascii="Symbol" w:eastAsia="Calibri" w:hAnsi="Symbol" w:cs="Times New Roman"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nsid w:val="76E50EC5"/>
    <w:multiLevelType w:val="hybridMultilevel"/>
    <w:tmpl w:val="68A616B6"/>
    <w:lvl w:ilvl="0" w:tplc="35182ADA">
      <w:start w:val="408"/>
      <w:numFmt w:val="bullet"/>
      <w:lvlText w:val="-"/>
      <w:lvlJc w:val="left"/>
      <w:pPr>
        <w:ind w:left="720" w:hanging="360"/>
      </w:pPr>
      <w:rPr>
        <w:rFonts w:ascii="Calibri" w:eastAsia="Calibri" w:hAnsi="Calibri" w:cs="Times New Roman"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rsids>
    <w:rsidRoot w:val="008D6097"/>
    <w:rsid w:val="000C795A"/>
    <w:rsid w:val="001D72CC"/>
    <w:rsid w:val="0027795E"/>
    <w:rsid w:val="00283BDB"/>
    <w:rsid w:val="00317E35"/>
    <w:rsid w:val="00393537"/>
    <w:rsid w:val="003C37CA"/>
    <w:rsid w:val="004F18FE"/>
    <w:rsid w:val="005F0B71"/>
    <w:rsid w:val="006427A4"/>
    <w:rsid w:val="00724AEF"/>
    <w:rsid w:val="00742907"/>
    <w:rsid w:val="00747635"/>
    <w:rsid w:val="007D7CD3"/>
    <w:rsid w:val="007F2DED"/>
    <w:rsid w:val="00822476"/>
    <w:rsid w:val="008669F9"/>
    <w:rsid w:val="008D6097"/>
    <w:rsid w:val="00965E04"/>
    <w:rsid w:val="00990CC1"/>
    <w:rsid w:val="00A3662A"/>
    <w:rsid w:val="00A60842"/>
    <w:rsid w:val="00A936B9"/>
    <w:rsid w:val="00B55272"/>
    <w:rsid w:val="00B61A8D"/>
    <w:rsid w:val="00CB70FB"/>
    <w:rsid w:val="00CD009F"/>
    <w:rsid w:val="00E23300"/>
    <w:rsid w:val="00E37622"/>
    <w:rsid w:val="00E450B6"/>
    <w:rsid w:val="00E620BF"/>
    <w:rsid w:val="00F113B2"/>
    <w:rsid w:val="00F920E3"/>
    <w:rsid w:val="00FD170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69F9"/>
  </w:style>
  <w:style w:type="paragraph" w:styleId="Heading1">
    <w:name w:val="heading 1"/>
    <w:basedOn w:val="Normal"/>
    <w:next w:val="Normal"/>
    <w:link w:val="Heading1Char"/>
    <w:uiPriority w:val="9"/>
    <w:qFormat/>
    <w:rsid w:val="00CD009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D009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D009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D009F"/>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D009F"/>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CD009F"/>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CD00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724AEF"/>
    <w:pPr>
      <w:spacing w:after="200" w:line="240" w:lineRule="auto"/>
    </w:pPr>
    <w:rPr>
      <w:i/>
      <w:iCs/>
      <w:color w:val="44546A" w:themeColor="text2"/>
      <w:sz w:val="18"/>
      <w:szCs w:val="18"/>
    </w:rPr>
  </w:style>
  <w:style w:type="paragraph" w:styleId="ListParagraph">
    <w:name w:val="List Paragraph"/>
    <w:basedOn w:val="Normal"/>
    <w:uiPriority w:val="34"/>
    <w:qFormat/>
    <w:rsid w:val="00724AEF"/>
    <w:pPr>
      <w:ind w:left="720"/>
      <w:contextualSpacing/>
    </w:pPr>
  </w:style>
  <w:style w:type="paragraph" w:styleId="Header">
    <w:name w:val="header"/>
    <w:basedOn w:val="Normal"/>
    <w:link w:val="HeaderChar"/>
    <w:uiPriority w:val="99"/>
    <w:unhideWhenUsed/>
    <w:rsid w:val="00A608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842"/>
  </w:style>
  <w:style w:type="paragraph" w:styleId="Footer">
    <w:name w:val="footer"/>
    <w:basedOn w:val="Normal"/>
    <w:link w:val="FooterChar"/>
    <w:uiPriority w:val="99"/>
    <w:unhideWhenUsed/>
    <w:rsid w:val="00A608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842"/>
  </w:style>
  <w:style w:type="character" w:styleId="Hyperlink">
    <w:name w:val="Hyperlink"/>
    <w:basedOn w:val="DefaultParagraphFont"/>
    <w:uiPriority w:val="99"/>
    <w:unhideWhenUsed/>
    <w:rsid w:val="00A60842"/>
    <w:rPr>
      <w:color w:val="0563C1" w:themeColor="hyperlink"/>
      <w:u w:val="single"/>
    </w:rPr>
  </w:style>
  <w:style w:type="paragraph" w:styleId="BalloonText">
    <w:name w:val="Balloon Text"/>
    <w:basedOn w:val="Normal"/>
    <w:link w:val="BalloonTextChar"/>
    <w:uiPriority w:val="99"/>
    <w:semiHidden/>
    <w:unhideWhenUsed/>
    <w:rsid w:val="005F0B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0B7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233</Words>
  <Characters>1241</Characters>
  <Application>Microsoft Office Word</Application>
  <DocSecurity>0</DocSecurity>
  <Lines>49</Lines>
  <Paragraphs>46</Paragraphs>
  <ScaleCrop>false</ScaleCrop>
  <HeadingPairs>
    <vt:vector size="2" baseType="variant">
      <vt:variant>
        <vt:lpstr>Title</vt:lpstr>
      </vt:variant>
      <vt:variant>
        <vt:i4>1</vt:i4>
      </vt:variant>
    </vt:vector>
  </HeadingPairs>
  <TitlesOfParts>
    <vt:vector size="1" baseType="lpstr">
      <vt:lpstr>Cook Community Hub</vt:lpstr>
    </vt:vector>
  </TitlesOfParts>
  <Company>Energy Action Ltd</Company>
  <LinksUpToDate>false</LinksUpToDate>
  <CharactersWithSpaces>1428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Pearce Community Centre</dc:title>
  <dc:subject>4th Quarterly Energy Report</dc:subject>
  <dc:creator>ACT Government</dc:creator>
  <cp:keywords>CEEP</cp:keywords>
  <dc:description>Summary Report</dc:description>
  <cp:lastModifiedBy>anne mckevett</cp:lastModifiedBy>
  <cp:revision>2</cp:revision>
  <cp:lastPrinted>2015-07-07T06:14:00Z</cp:lastPrinted>
  <dcterms:created xsi:type="dcterms:W3CDTF">2015-09-17T00:38:00Z</dcterms:created>
  <dcterms:modified xsi:type="dcterms:W3CDTF">2015-09-17T00:38:00Z</dcterms:modified>
  <cp:category>CEEP</cp:category>
  <cp:contentStatus>For Issue</cp:contentStatus>
</cp:coreProperties>
</file>