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76" w:rsidRPr="001D72CC" w:rsidRDefault="00F113B2" w:rsidP="00CD009F">
      <w:pPr>
        <w:pStyle w:val="Title"/>
        <w:rPr>
          <w:b/>
        </w:rPr>
      </w:pPr>
      <w:r>
        <w:rPr>
          <w:b/>
        </w:rPr>
        <w:t>Holt</w:t>
      </w:r>
      <w:r w:rsidR="00CD009F" w:rsidRPr="001D72CC">
        <w:rPr>
          <w:b/>
        </w:rPr>
        <w:t xml:space="preserve"> Community Hub</w:t>
      </w:r>
    </w:p>
    <w:p w:rsidR="00CD009F" w:rsidRPr="001D72CC" w:rsidRDefault="00393537" w:rsidP="00CD009F">
      <w:pPr>
        <w:pStyle w:val="Subtitle"/>
        <w:rPr>
          <w:sz w:val="24"/>
        </w:rPr>
      </w:pPr>
      <w:bookmarkStart w:id="0" w:name="OLE_LINK19"/>
      <w:bookmarkStart w:id="1" w:name="OLE_LINK20"/>
      <w:r>
        <w:rPr>
          <w:sz w:val="24"/>
        </w:rPr>
        <w:t>4</w:t>
      </w:r>
      <w:r>
        <w:rPr>
          <w:sz w:val="24"/>
          <w:vertAlign w:val="superscript"/>
        </w:rPr>
        <w:t>th</w:t>
      </w:r>
      <w:r w:rsidR="00F113B2">
        <w:rPr>
          <w:sz w:val="24"/>
        </w:rPr>
        <w:t xml:space="preserve"> </w:t>
      </w:r>
      <w:r w:rsidR="00CD009F" w:rsidRPr="001D72CC">
        <w:rPr>
          <w:sz w:val="24"/>
        </w:rPr>
        <w:t xml:space="preserve">Quarterly Energy Report </w:t>
      </w:r>
      <w:bookmarkEnd w:id="0"/>
      <w:bookmarkEnd w:id="1"/>
      <w:r w:rsidR="00CD009F" w:rsidRPr="001D72CC">
        <w:rPr>
          <w:sz w:val="24"/>
        </w:rPr>
        <w:t xml:space="preserve">– </w:t>
      </w:r>
      <w:r>
        <w:rPr>
          <w:sz w:val="24"/>
        </w:rPr>
        <w:t>January 2015</w:t>
      </w:r>
      <w:r w:rsidR="00CD009F" w:rsidRPr="001D72CC">
        <w:rPr>
          <w:sz w:val="24"/>
        </w:rPr>
        <w:t xml:space="preserve"> to </w:t>
      </w:r>
      <w:r>
        <w:rPr>
          <w:sz w:val="24"/>
        </w:rPr>
        <w:t>March 2015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Introduction</w:t>
      </w:r>
    </w:p>
    <w:p w:rsidR="00CD009F" w:rsidRDefault="00CD009F" w:rsidP="00CD009F">
      <w:r>
        <w:t xml:space="preserve">This report summarises the energy saving results to date for </w:t>
      </w:r>
      <w:r w:rsidR="00F113B2">
        <w:t>Holt</w:t>
      </w:r>
      <w:r>
        <w:t xml:space="preserve"> Community Hub. The site is</w:t>
      </w:r>
      <w:r w:rsidR="00F113B2">
        <w:t xml:space="preserve"> now </w:t>
      </w:r>
      <w:r w:rsidR="00393537">
        <w:t>at the end of</w:t>
      </w:r>
      <w:r>
        <w:t xml:space="preserve"> its 12 month monitoring period.</w:t>
      </w:r>
    </w:p>
    <w:p w:rsidR="00B64E14" w:rsidRPr="00CE0C41" w:rsidRDefault="00B64E14" w:rsidP="00B64E14">
      <w:r w:rsidRPr="001D72CC">
        <w:t>F</w:t>
      </w:r>
      <w:r>
        <w:t>or the first 12</w:t>
      </w:r>
      <w:r w:rsidRPr="001D72CC">
        <w:t xml:space="preserve"> months since the CEEP upgrade works, the site has reduced i</w:t>
      </w:r>
      <w:r>
        <w:t>ts electricity consumption by 33</w:t>
      </w:r>
      <w:r w:rsidRPr="001D72CC">
        <w:t>% and gas c</w:t>
      </w:r>
      <w:r>
        <w:t>onsumption by 65</w:t>
      </w:r>
      <w:r w:rsidRPr="001D72CC">
        <w:t>% (compared to the baseline period).</w:t>
      </w:r>
      <w:r>
        <w:t xml:space="preserve"> </w:t>
      </w:r>
      <w:r w:rsidRPr="009A4E78">
        <w:t>The el</w:t>
      </w:r>
      <w:r>
        <w:t>ectricity and gas savings</w:t>
      </w:r>
      <w:r w:rsidRPr="009A4E78">
        <w:t xml:space="preserve"> have been an excellent result, largely due to the new efficient boilers, lighting upgrade and the occupancy-based controls.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Results</w:t>
      </w:r>
    </w:p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r w:rsidR="00E4172B">
        <w:fldChar w:fldCharType="begin"/>
      </w:r>
      <w:r w:rsidR="00CE0C41">
        <w:instrText xml:space="preserve"> SEQ Table \* ARABIC </w:instrText>
      </w:r>
      <w:r w:rsidR="00E4172B">
        <w:fldChar w:fldCharType="separate"/>
      </w:r>
      <w:r>
        <w:rPr>
          <w:noProof/>
        </w:rPr>
        <w:t>1</w:t>
      </w:r>
      <w:r w:rsidR="00E4172B">
        <w:rPr>
          <w:noProof/>
        </w:rPr>
        <w:fldChar w:fldCharType="end"/>
      </w:r>
      <w:r w:rsidR="00393537">
        <w:t>: Energy savings to date (12 months</w:t>
      </w:r>
      <w:r>
        <w:t>)</w:t>
      </w:r>
    </w:p>
    <w:tbl>
      <w:tblPr>
        <w:tblStyle w:val="TableGrid"/>
        <w:tblW w:w="0" w:type="auto"/>
        <w:tblLook w:val="04A0"/>
      </w:tblPr>
      <w:tblGrid>
        <w:gridCol w:w="2254"/>
        <w:gridCol w:w="2254"/>
        <w:gridCol w:w="2254"/>
        <w:gridCol w:w="2254"/>
      </w:tblGrid>
      <w:tr w:rsidR="00CD009F" w:rsidTr="00152CB4">
        <w:trPr>
          <w:trHeight w:val="567"/>
          <w:tblHeader/>
        </w:trPr>
        <w:tc>
          <w:tcPr>
            <w:tcW w:w="2254" w:type="dxa"/>
            <w:vAlign w:val="center"/>
          </w:tcPr>
          <w:p w:rsidR="00CD009F" w:rsidRPr="00724AEF" w:rsidRDefault="00965E04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Fuel Type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Baseline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Current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 achieved to date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Electricity</w:t>
            </w:r>
          </w:p>
        </w:tc>
        <w:tc>
          <w:tcPr>
            <w:tcW w:w="2254" w:type="dxa"/>
            <w:vAlign w:val="center"/>
          </w:tcPr>
          <w:p w:rsidR="00CD009F" w:rsidRDefault="00393537" w:rsidP="00F113B2">
            <w:pPr>
              <w:jc w:val="center"/>
            </w:pPr>
            <w:r>
              <w:t>227,127</w:t>
            </w:r>
            <w:r w:rsidR="00724AEF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Default="00393537" w:rsidP="00A60842">
            <w:pPr>
              <w:jc w:val="center"/>
            </w:pPr>
            <w:r>
              <w:t>152,279</w:t>
            </w:r>
            <w:r w:rsidR="00724AEF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Default="00393537" w:rsidP="00A60842">
            <w:pPr>
              <w:jc w:val="center"/>
            </w:pPr>
            <w:r>
              <w:t>74,848</w:t>
            </w:r>
            <w:r w:rsidR="00724AEF">
              <w:t xml:space="preserve"> kWh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Gas</w:t>
            </w:r>
          </w:p>
        </w:tc>
        <w:tc>
          <w:tcPr>
            <w:tcW w:w="2254" w:type="dxa"/>
            <w:vAlign w:val="center"/>
          </w:tcPr>
          <w:p w:rsidR="00CD009F" w:rsidRDefault="00E450B6" w:rsidP="00A60842">
            <w:pPr>
              <w:jc w:val="center"/>
            </w:pPr>
            <w:r>
              <w:t>1,999</w:t>
            </w:r>
            <w:r w:rsidR="00CB70FB">
              <w:t>,8</w:t>
            </w:r>
            <w:r>
              <w:t>91</w:t>
            </w:r>
            <w:r w:rsidR="00724AEF">
              <w:t xml:space="preserve"> MJ</w:t>
            </w:r>
          </w:p>
        </w:tc>
        <w:tc>
          <w:tcPr>
            <w:tcW w:w="2254" w:type="dxa"/>
            <w:vAlign w:val="center"/>
          </w:tcPr>
          <w:p w:rsidR="00CD009F" w:rsidRDefault="00E450B6" w:rsidP="00A60842">
            <w:pPr>
              <w:jc w:val="center"/>
            </w:pPr>
            <w:r>
              <w:t>696,175</w:t>
            </w:r>
            <w:r w:rsidR="00724AEF">
              <w:t xml:space="preserve"> MJ</w:t>
            </w:r>
          </w:p>
        </w:tc>
        <w:tc>
          <w:tcPr>
            <w:tcW w:w="2254" w:type="dxa"/>
            <w:vAlign w:val="center"/>
          </w:tcPr>
          <w:p w:rsidR="00CD009F" w:rsidRDefault="00E450B6" w:rsidP="00A60842">
            <w:pPr>
              <w:jc w:val="center"/>
            </w:pPr>
            <w:r>
              <w:t>1,303,716</w:t>
            </w:r>
            <w:r w:rsidR="00724AEF">
              <w:t xml:space="preserve"> MJ</w:t>
            </w:r>
          </w:p>
        </w:tc>
      </w:tr>
    </w:tbl>
    <w:p w:rsidR="00CD009F" w:rsidRDefault="00CD009F" w:rsidP="00CD009F"/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r w:rsidR="00E4172B">
        <w:fldChar w:fldCharType="begin"/>
      </w:r>
      <w:r w:rsidR="00CE0C41">
        <w:instrText xml:space="preserve"> SEQ Table \* ARABIC </w:instrText>
      </w:r>
      <w:r w:rsidR="00E4172B">
        <w:fldChar w:fldCharType="separate"/>
      </w:r>
      <w:r>
        <w:rPr>
          <w:noProof/>
        </w:rPr>
        <w:t>2</w:t>
      </w:r>
      <w:r w:rsidR="00E4172B">
        <w:rPr>
          <w:noProof/>
        </w:rPr>
        <w:fldChar w:fldCharType="end"/>
      </w:r>
      <w:r>
        <w:t>: Other savings to date</w:t>
      </w:r>
    </w:p>
    <w:tbl>
      <w:tblPr>
        <w:tblStyle w:val="TableGrid"/>
        <w:tblW w:w="0" w:type="auto"/>
        <w:jc w:val="center"/>
        <w:tblLook w:val="04A0"/>
      </w:tblPr>
      <w:tblGrid>
        <w:gridCol w:w="3397"/>
        <w:gridCol w:w="3261"/>
      </w:tblGrid>
      <w:tr w:rsidR="00724AEF" w:rsidTr="00152CB4">
        <w:trPr>
          <w:trHeight w:val="567"/>
          <w:tblHeader/>
          <w:jc w:val="center"/>
        </w:trPr>
        <w:tc>
          <w:tcPr>
            <w:tcW w:w="3397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Category</w:t>
            </w:r>
          </w:p>
        </w:tc>
        <w:tc>
          <w:tcPr>
            <w:tcW w:w="3261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Greenhouse Gas Saving</w:t>
            </w:r>
          </w:p>
        </w:tc>
        <w:tc>
          <w:tcPr>
            <w:tcW w:w="3261" w:type="dxa"/>
            <w:vAlign w:val="center"/>
          </w:tcPr>
          <w:p w:rsidR="00724AEF" w:rsidRPr="00724AEF" w:rsidRDefault="003C37CA" w:rsidP="00A60842">
            <w:pPr>
              <w:jc w:val="center"/>
            </w:pPr>
            <w:r>
              <w:t>166</w:t>
            </w:r>
            <w:r w:rsidR="00724AEF">
              <w:t xml:space="preserve"> tonnes of CO</w:t>
            </w:r>
            <w:r w:rsidR="00724AEF">
              <w:rPr>
                <w:vertAlign w:val="subscript"/>
              </w:rPr>
              <w:t>2</w:t>
            </w:r>
            <w:r w:rsidR="00724AEF">
              <w:t xml:space="preserve"> equivalent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Financial Saving</w:t>
            </w:r>
          </w:p>
        </w:tc>
        <w:tc>
          <w:tcPr>
            <w:tcW w:w="3261" w:type="dxa"/>
            <w:vAlign w:val="center"/>
          </w:tcPr>
          <w:p w:rsidR="00724AEF" w:rsidRDefault="00393537" w:rsidP="00A60842">
            <w:pPr>
              <w:jc w:val="center"/>
            </w:pPr>
            <w:r>
              <w:t>$44,764</w:t>
            </w:r>
          </w:p>
        </w:tc>
      </w:tr>
    </w:tbl>
    <w:p w:rsidR="00B64E14" w:rsidRDefault="00B64E14" w:rsidP="00B64E14">
      <w:pPr>
        <w:rPr>
          <w:b/>
          <w:bCs/>
          <w:color w:val="000000"/>
        </w:rPr>
      </w:pPr>
    </w:p>
    <w:p w:rsidR="00B64E14" w:rsidRDefault="00B64E14" w:rsidP="00B64E14">
      <w:pPr>
        <w:rPr>
          <w:b/>
          <w:bCs/>
          <w:color w:val="000000"/>
        </w:rPr>
      </w:pPr>
      <w:r>
        <w:rPr>
          <w:b/>
          <w:bCs/>
          <w:color w:val="000000"/>
        </w:rPr>
        <w:t>Building tenant energy saving tips</w:t>
      </w:r>
    </w:p>
    <w:p w:rsidR="00B64E14" w:rsidRDefault="00B64E14" w:rsidP="00B64E14">
      <w:pPr>
        <w:rPr>
          <w:color w:val="000000"/>
        </w:rPr>
      </w:pPr>
      <w:r>
        <w:rPr>
          <w:color w:val="000000"/>
        </w:rPr>
        <w:t>Recommendations for tenants to further improve on building energy efficiencies and increase energy cost savings:-</w:t>
      </w:r>
    </w:p>
    <w:p w:rsidR="00B64E14" w:rsidRDefault="00B64E14" w:rsidP="00B64E14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Shut down office equipment and appliances when not in use, particularly overnight and on weekends.</w:t>
      </w:r>
    </w:p>
    <w:p w:rsidR="00B64E14" w:rsidRPr="008F17F1" w:rsidRDefault="00B64E14" w:rsidP="00B64E14">
      <w:pPr>
        <w:pStyle w:val="ListParagraph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Switch off e</w:t>
      </w:r>
      <w:r w:rsidRPr="008F17F1">
        <w:rPr>
          <w:color w:val="000000"/>
        </w:rPr>
        <w:t>quipment at power source.</w:t>
      </w:r>
    </w:p>
    <w:p w:rsidR="00B64E14" w:rsidRDefault="00B64E14" w:rsidP="00B64E14">
      <w:pPr>
        <w:rPr>
          <w:color w:val="000000"/>
        </w:rPr>
      </w:pPr>
    </w:p>
    <w:p w:rsidR="00B64E14" w:rsidRDefault="00B64E14" w:rsidP="00B64E14">
      <w:pPr>
        <w:rPr>
          <w:color w:val="000000"/>
        </w:rPr>
      </w:pPr>
      <w:r>
        <w:rPr>
          <w:color w:val="000000"/>
        </w:rPr>
        <w:t>Equipment includes but is not limited to the following:</w:t>
      </w:r>
    </w:p>
    <w:p w:rsidR="00B64E14" w:rsidRDefault="00B64E14" w:rsidP="00B64E14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Personal computers and laptops</w:t>
      </w:r>
    </w:p>
    <w:p w:rsidR="00B64E14" w:rsidRDefault="00B64E14" w:rsidP="00B64E14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Multi functional devices (MFD)</w:t>
      </w:r>
    </w:p>
    <w:p w:rsidR="00B64E14" w:rsidRDefault="00B64E14" w:rsidP="00B64E14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IT Server.</w:t>
      </w:r>
    </w:p>
    <w:p w:rsidR="00965E04" w:rsidRDefault="00965E04" w:rsidP="00CD009F"/>
    <w:sectPr w:rsidR="00965E04" w:rsidSect="0003038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95A" w:rsidRDefault="000C795A" w:rsidP="00A60842">
      <w:pPr>
        <w:spacing w:after="0" w:line="240" w:lineRule="auto"/>
      </w:pPr>
      <w:r>
        <w:separator/>
      </w:r>
    </w:p>
  </w:endnote>
  <w:endnote w:type="continuationSeparator" w:id="0">
    <w:p w:rsidR="000C795A" w:rsidRDefault="000C795A" w:rsidP="00A6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95A" w:rsidRDefault="000C795A" w:rsidP="00A60842">
      <w:pPr>
        <w:spacing w:after="0" w:line="240" w:lineRule="auto"/>
      </w:pPr>
      <w:r>
        <w:separator/>
      </w:r>
    </w:p>
  </w:footnote>
  <w:footnote w:type="continuationSeparator" w:id="0">
    <w:p w:rsidR="000C795A" w:rsidRDefault="000C795A" w:rsidP="00A6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Header"/>
    </w:pPr>
    <w:r>
      <w:rPr>
        <w:noProof/>
        <w:color w:val="FF0000"/>
        <w:lang w:eastAsia="en-AU"/>
      </w:rPr>
      <w:drawing>
        <wp:inline distT="0" distB="0" distL="0" distR="0">
          <wp:extent cx="2001520" cy="758825"/>
          <wp:effectExtent l="0" t="0" r="0" b="3175"/>
          <wp:docPr id="2" name="Picture 2" descr="ACT Government &#10;Demartment of Chei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 Mudie\Documents\CEE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AU"/>
      </w:rPr>
      <w:drawing>
        <wp:inline distT="0" distB="0" distL="0" distR="0">
          <wp:extent cx="2095200" cy="759600"/>
          <wp:effectExtent l="0" t="0" r="635" b="2540"/>
          <wp:docPr id="7" name="Picture 7" descr="Energy Action Lt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gy Action 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200" cy="75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72CC" w:rsidRDefault="001D72CC" w:rsidP="00A608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339BB"/>
    <w:multiLevelType w:val="hybridMultilevel"/>
    <w:tmpl w:val="0C624B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D69EE"/>
    <w:multiLevelType w:val="hybridMultilevel"/>
    <w:tmpl w:val="945C3684"/>
    <w:lvl w:ilvl="0" w:tplc="224C2786">
      <w:start w:val="40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E50EC5"/>
    <w:multiLevelType w:val="hybridMultilevel"/>
    <w:tmpl w:val="68A616B6"/>
    <w:lvl w:ilvl="0" w:tplc="35182ADA">
      <w:start w:val="40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8D6097"/>
    <w:rsid w:val="00030389"/>
    <w:rsid w:val="000C795A"/>
    <w:rsid w:val="00152CB4"/>
    <w:rsid w:val="001D72CC"/>
    <w:rsid w:val="0027795E"/>
    <w:rsid w:val="00317E35"/>
    <w:rsid w:val="00393537"/>
    <w:rsid w:val="003C37CA"/>
    <w:rsid w:val="004F18FE"/>
    <w:rsid w:val="005F0B71"/>
    <w:rsid w:val="00724AEF"/>
    <w:rsid w:val="00822476"/>
    <w:rsid w:val="008D6097"/>
    <w:rsid w:val="00965E04"/>
    <w:rsid w:val="00A3662A"/>
    <w:rsid w:val="00A60842"/>
    <w:rsid w:val="00B64E14"/>
    <w:rsid w:val="00CB70FB"/>
    <w:rsid w:val="00CD009F"/>
    <w:rsid w:val="00CE0C41"/>
    <w:rsid w:val="00E4172B"/>
    <w:rsid w:val="00E450B6"/>
    <w:rsid w:val="00E620BF"/>
    <w:rsid w:val="00F11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389"/>
  </w:style>
  <w:style w:type="paragraph" w:styleId="Heading1">
    <w:name w:val="heading 1"/>
    <w:basedOn w:val="Normal"/>
    <w:next w:val="Normal"/>
    <w:link w:val="Heading1Char"/>
    <w:uiPriority w:val="9"/>
    <w:qFormat/>
    <w:rsid w:val="00CD0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00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09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D009F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D0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D0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24A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724A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842"/>
  </w:style>
  <w:style w:type="paragraph" w:styleId="Footer">
    <w:name w:val="footer"/>
    <w:basedOn w:val="Normal"/>
    <w:link w:val="Foot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842"/>
  </w:style>
  <w:style w:type="character" w:styleId="Hyperlink">
    <w:name w:val="Hyperlink"/>
    <w:basedOn w:val="DefaultParagraphFont"/>
    <w:uiPriority w:val="99"/>
    <w:unhideWhenUsed/>
    <w:rsid w:val="00A6084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1162</Characters>
  <Application>Microsoft Office Word</Application>
  <DocSecurity>0</DocSecurity>
  <Lines>50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 Community Hub</vt:lpstr>
    </vt:vector>
  </TitlesOfParts>
  <Company>Energy Action Ltd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Holt Community Hub</dc:title>
  <dc:subject>4th Quarterly Energy Report</dc:subject>
  <dc:creator>ACT Government</dc:creator>
  <cp:keywords>CEEP</cp:keywords>
  <dc:description>Summary Report</dc:description>
  <cp:lastModifiedBy>anne mckevett</cp:lastModifiedBy>
  <cp:revision>2</cp:revision>
  <dcterms:created xsi:type="dcterms:W3CDTF">2015-09-17T00:50:00Z</dcterms:created>
  <dcterms:modified xsi:type="dcterms:W3CDTF">2015-09-17T00:50:00Z</dcterms:modified>
  <cp:category>CEEP</cp:category>
  <cp:contentStatus>For Issue</cp:contentStatus>
</cp:coreProperties>
</file>