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7998" w:rsidRDefault="00BC0D4F" w:rsidP="00717998">
      <w:pPr>
        <w:pStyle w:val="NotTOCHeading"/>
        <w:tabs>
          <w:tab w:val="left" w:pos="2835"/>
        </w:tabs>
      </w:pPr>
      <w:r>
        <w:rPr>
          <w:noProof/>
          <w:lang w:eastAsia="en-AU"/>
        </w:rPr>
        <w:drawing>
          <wp:anchor distT="0" distB="0" distL="114300" distR="114300" simplePos="0" relativeHeight="251651070" behindDoc="0" locked="0" layoutInCell="1" allowOverlap="1">
            <wp:simplePos x="0" y="0"/>
            <wp:positionH relativeFrom="column">
              <wp:posOffset>-1010285</wp:posOffset>
            </wp:positionH>
            <wp:positionV relativeFrom="paragraph">
              <wp:posOffset>-1080135</wp:posOffset>
            </wp:positionV>
            <wp:extent cx="7571105" cy="10697210"/>
            <wp:effectExtent l="19050" t="0" r="0" b="0"/>
            <wp:wrapNone/>
            <wp:docPr id="9" name="Picture 1" descr="Cover graphic"/>
            <wp:cNvGraphicFramePr/>
            <a:graphic xmlns:a="http://schemas.openxmlformats.org/drawingml/2006/main">
              <a:graphicData uri="http://schemas.openxmlformats.org/drawingml/2006/picture">
                <pic:pic xmlns:pic="http://schemas.openxmlformats.org/drawingml/2006/picture">
                  <pic:nvPicPr>
                    <pic:cNvPr id="7" name="Picture 6" descr="CBR-Branding_1.png"/>
                    <pic:cNvPicPr>
                      <a:picLocks noChangeAspect="1"/>
                    </pic:cNvPicPr>
                  </pic:nvPicPr>
                  <pic:blipFill>
                    <a:blip r:embed="rId11" cstate="print"/>
                    <a:srcRect t="26166" b="6615"/>
                    <a:stretch>
                      <a:fillRect/>
                    </a:stretch>
                  </pic:blipFill>
                  <pic:spPr>
                    <a:xfrm flipH="1">
                      <a:off x="0" y="0"/>
                      <a:ext cx="7571105" cy="10697210"/>
                    </a:xfrm>
                    <a:prstGeom prst="rect">
                      <a:avLst/>
                    </a:prstGeom>
                  </pic:spPr>
                </pic:pic>
              </a:graphicData>
            </a:graphic>
          </wp:anchor>
        </w:drawing>
      </w:r>
      <w:r w:rsidR="000D399F">
        <w:rPr>
          <w:noProof/>
          <w:lang w:eastAsia="en-AU"/>
        </w:rPr>
        <w:drawing>
          <wp:anchor distT="0" distB="0" distL="114300" distR="114300" simplePos="0" relativeHeight="251672576" behindDoc="0" locked="0" layoutInCell="1" allowOverlap="1">
            <wp:simplePos x="0" y="0"/>
            <wp:positionH relativeFrom="column">
              <wp:posOffset>-465348</wp:posOffset>
            </wp:positionH>
            <wp:positionV relativeFrom="page">
              <wp:posOffset>544530</wp:posOffset>
            </wp:positionV>
            <wp:extent cx="1563170" cy="791110"/>
            <wp:effectExtent l="19050" t="0" r="0" b="0"/>
            <wp:wrapNone/>
            <wp:docPr id="17" name="Picture 17" descr="ACT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T white.pn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563170" cy="791110"/>
                    </a:xfrm>
                    <a:prstGeom prst="rect">
                      <a:avLst/>
                    </a:prstGeom>
                  </pic:spPr>
                </pic:pic>
              </a:graphicData>
            </a:graphic>
          </wp:anchor>
        </w:drawing>
      </w:r>
      <w:r w:rsidR="00016AC7">
        <w:rPr>
          <w:noProof/>
          <w:lang w:eastAsia="en-AU"/>
        </w:rPr>
        <w:pict>
          <v:rect id="Rectangle 15" o:spid="_x0000_s1033" alt="Document title&#10;" style="position:absolute;margin-left:-.55pt;margin-top:113.45pt;width:595.05pt;height:262.6pt;z-index:251674624;visibility:visible;mso-position-horizontal-relative:page;mso-position-vertical-relative:page;v-text-anchor:middle" filled="f" fillcolor="#494949 [974]" stroked="f">
            <v:fill color2="#f8f8f8 [3214]" rotate="t" angle="135" colors="0 #919191;.5 #d0d0d0;1 #f8f8f8" focus="100%" type="gradient"/>
            <v:textbox style="mso-next-textbox:#Rectangle 15" inset="0,,0">
              <w:txbxContent>
                <w:p w:rsidR="00E569D9" w:rsidRPr="002F34E6" w:rsidRDefault="00E569D9" w:rsidP="002F34E6">
                  <w:pPr>
                    <w:spacing w:before="0" w:line="240" w:lineRule="auto"/>
                    <w:ind w:left="567" w:right="844"/>
                    <w:jc w:val="right"/>
                    <w:rPr>
                      <w:color w:val="FFFFFF" w:themeColor="background1"/>
                      <w:spacing w:val="20"/>
                      <w:sz w:val="52"/>
                      <w:szCs w:val="52"/>
                    </w:rPr>
                  </w:pPr>
                  <w:r w:rsidRPr="002F34E6">
                    <w:rPr>
                      <w:color w:val="FFFFFF" w:themeColor="background1"/>
                      <w:spacing w:val="20"/>
                      <w:sz w:val="52"/>
                      <w:szCs w:val="52"/>
                    </w:rPr>
                    <w:t xml:space="preserve">Law Courts of the </w:t>
                  </w:r>
                  <w:r w:rsidRPr="002F34E6">
                    <w:rPr>
                      <w:color w:val="FFFFFF" w:themeColor="background1"/>
                      <w:spacing w:val="20"/>
                      <w:sz w:val="52"/>
                      <w:szCs w:val="52"/>
                    </w:rPr>
                    <w:br/>
                    <w:t>Australian Capital Territory</w:t>
                  </w:r>
                </w:p>
                <w:p w:rsidR="00E569D9" w:rsidRPr="002F34E6" w:rsidRDefault="00E569D9" w:rsidP="002F34E6">
                  <w:pPr>
                    <w:spacing w:before="0" w:line="240" w:lineRule="auto"/>
                    <w:ind w:left="567" w:right="844"/>
                    <w:jc w:val="right"/>
                    <w:rPr>
                      <w:color w:val="FFFFFF" w:themeColor="background1"/>
                      <w:spacing w:val="20"/>
                      <w:sz w:val="52"/>
                      <w:szCs w:val="52"/>
                    </w:rPr>
                  </w:pPr>
                </w:p>
                <w:p w:rsidR="00E569D9" w:rsidRPr="002F34E6" w:rsidRDefault="00E569D9" w:rsidP="002F34E6">
                  <w:pPr>
                    <w:spacing w:before="0" w:line="240" w:lineRule="auto"/>
                    <w:ind w:left="567" w:right="844"/>
                    <w:jc w:val="right"/>
                    <w:rPr>
                      <w:color w:val="FFFFFF" w:themeColor="background1"/>
                      <w:spacing w:val="20"/>
                      <w:sz w:val="48"/>
                      <w:szCs w:val="48"/>
                    </w:rPr>
                  </w:pPr>
                  <w:r w:rsidRPr="002F34E6">
                    <w:rPr>
                      <w:color w:val="FFFFFF" w:themeColor="background1"/>
                      <w:spacing w:val="20"/>
                      <w:sz w:val="52"/>
                      <w:szCs w:val="52"/>
                    </w:rPr>
                    <w:t>Contract Summary</w:t>
                  </w:r>
                </w:p>
                <w:p w:rsidR="00E569D9" w:rsidRDefault="00E569D9" w:rsidP="002F34E6">
                  <w:pPr>
                    <w:spacing w:line="240" w:lineRule="auto"/>
                    <w:ind w:left="567" w:right="844"/>
                    <w:jc w:val="right"/>
                    <w:rPr>
                      <w:color w:val="FFFFFF" w:themeColor="background1"/>
                      <w:spacing w:val="20"/>
                      <w:sz w:val="32"/>
                      <w:szCs w:val="32"/>
                    </w:rPr>
                  </w:pPr>
                </w:p>
                <w:p w:rsidR="00E569D9" w:rsidRPr="00315D79" w:rsidRDefault="00E569D9" w:rsidP="002F34E6">
                  <w:pPr>
                    <w:spacing w:line="240" w:lineRule="auto"/>
                    <w:ind w:left="567" w:right="844"/>
                    <w:jc w:val="right"/>
                    <w:rPr>
                      <w:i/>
                      <w:color w:val="FFFFFF" w:themeColor="background1"/>
                      <w:spacing w:val="20"/>
                      <w:sz w:val="32"/>
                      <w:szCs w:val="32"/>
                    </w:rPr>
                  </w:pPr>
                  <w:r>
                    <w:rPr>
                      <w:color w:val="FFFFFF" w:themeColor="background1"/>
                      <w:spacing w:val="20"/>
                      <w:sz w:val="32"/>
                      <w:szCs w:val="32"/>
                    </w:rPr>
                    <w:t>June</w:t>
                  </w:r>
                  <w:r w:rsidRPr="00315D79">
                    <w:rPr>
                      <w:color w:val="FFFFFF" w:themeColor="background1"/>
                      <w:spacing w:val="20"/>
                      <w:sz w:val="32"/>
                      <w:szCs w:val="32"/>
                    </w:rPr>
                    <w:t xml:space="preserve"> 2016</w:t>
                  </w:r>
                </w:p>
              </w:txbxContent>
            </v:textbox>
            <w10:wrap anchorx="page" anchory="page"/>
          </v:rect>
        </w:pict>
      </w:r>
      <w:r w:rsidR="00F7015B">
        <w:t>Cover Page</w:t>
      </w:r>
    </w:p>
    <w:p w:rsidR="00D42AE7" w:rsidRDefault="002F34E6">
      <w:r>
        <w:rPr>
          <w:noProof/>
          <w:lang w:eastAsia="en-AU"/>
        </w:rPr>
        <w:drawing>
          <wp:anchor distT="0" distB="0" distL="114300" distR="114300" simplePos="0" relativeHeight="251675648" behindDoc="0" locked="0" layoutInCell="1" allowOverlap="1">
            <wp:simplePos x="0" y="0"/>
            <wp:positionH relativeFrom="column">
              <wp:posOffset>-1153232</wp:posOffset>
            </wp:positionH>
            <wp:positionV relativeFrom="paragraph">
              <wp:posOffset>3865942</wp:posOffset>
            </wp:positionV>
            <wp:extent cx="7874120" cy="4270075"/>
            <wp:effectExtent l="190500" t="152400" r="164980" b="130475"/>
            <wp:wrapNone/>
            <wp:docPr id="11" name="Picture 2" descr="Picture vernon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P_Vernon_CC.jpg"/>
                    <pic:cNvPicPr/>
                  </pic:nvPicPr>
                  <pic:blipFill>
                    <a:blip r:embed="rId13" cstate="print"/>
                    <a:stretch>
                      <a:fillRect/>
                    </a:stretch>
                  </pic:blipFill>
                  <pic:spPr>
                    <a:xfrm>
                      <a:off x="0" y="0"/>
                      <a:ext cx="7874120" cy="4270075"/>
                    </a:xfrm>
                    <a:prstGeom prst="rect">
                      <a:avLst/>
                    </a:prstGeom>
                    <a:ln>
                      <a:noFill/>
                    </a:ln>
                    <a:effectLst>
                      <a:outerShdw blurRad="190500" algn="tl" rotWithShape="0">
                        <a:srgbClr val="000000">
                          <a:alpha val="70000"/>
                        </a:srgbClr>
                      </a:outerShdw>
                    </a:effectLst>
                  </pic:spPr>
                </pic:pic>
              </a:graphicData>
            </a:graphic>
          </wp:anchor>
        </w:drawing>
      </w:r>
      <w:r w:rsidR="00D42AE7">
        <w:br w:type="page"/>
      </w:r>
    </w:p>
    <w:p w:rsidR="00D42AE7" w:rsidRDefault="000D399F" w:rsidP="00CB7AF2">
      <w:r>
        <w:rPr>
          <w:noProof/>
          <w:lang w:eastAsia="en-AU"/>
        </w:rPr>
        <w:lastRenderedPageBreak/>
        <w:drawing>
          <wp:anchor distT="0" distB="0" distL="114300" distR="114300" simplePos="0" relativeHeight="251654144" behindDoc="0" locked="0" layoutInCell="1" allowOverlap="1">
            <wp:simplePos x="0" y="0"/>
            <wp:positionH relativeFrom="column">
              <wp:posOffset>4464685</wp:posOffset>
            </wp:positionH>
            <wp:positionV relativeFrom="page">
              <wp:posOffset>540385</wp:posOffset>
            </wp:positionV>
            <wp:extent cx="1450155" cy="719191"/>
            <wp:effectExtent l="19050" t="0" r="0" b="0"/>
            <wp:wrapNone/>
            <wp:docPr id="3" name="Picture 3" descr="ACT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T white.pn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450155" cy="719191"/>
                    </a:xfrm>
                    <a:prstGeom prst="rect">
                      <a:avLst/>
                    </a:prstGeom>
                  </pic:spPr>
                </pic:pic>
              </a:graphicData>
            </a:graphic>
          </wp:anchor>
        </w:drawing>
      </w:r>
      <w:r w:rsidR="00016AC7">
        <w:rPr>
          <w:noProof/>
          <w:lang w:eastAsia="en-AU"/>
        </w:rPr>
        <w:pict>
          <v:rect id="Rectangle 9" o:spid="_x0000_s1030" alt="Forward" style="position:absolute;margin-left:.55pt;margin-top:80.25pt;width:594.75pt;height:406.15pt;z-index:-251636736;visibility:visible;mso-position-horizontal-relative:page;mso-position-vertical:absolute;mso-position-vertical-relative:page" filled="f" fillcolor="#f8f8f8 [3214]" stroked="f">
            <v:textbox style="mso-next-textbox:#Rectangle 9">
              <w:txbxContent>
                <w:p w:rsidR="00E569D9" w:rsidRDefault="00E569D9" w:rsidP="00EB64EE">
                  <w:pPr>
                    <w:spacing w:before="0" w:after="0" w:line="240" w:lineRule="auto"/>
                    <w:ind w:left="992" w:right="1259"/>
                  </w:pPr>
                </w:p>
                <w:p w:rsidR="00E569D9" w:rsidRDefault="00E569D9" w:rsidP="00C52C46">
                  <w:pPr>
                    <w:pStyle w:val="NotTOCHeading"/>
                    <w:ind w:left="993" w:right="1257"/>
                  </w:pPr>
                  <w:r>
                    <w:t>Foreword</w:t>
                  </w:r>
                </w:p>
                <w:p w:rsidR="00E569D9" w:rsidRDefault="00E569D9" w:rsidP="00C52C46">
                  <w:pPr>
                    <w:ind w:left="993" w:right="1257"/>
                  </w:pPr>
                  <w:r>
                    <w:t xml:space="preserve">This Project Summary provides information about the contractual nature of the ACT Law Courts Project (Project) as at the point of Financial Close. </w:t>
                  </w:r>
                </w:p>
                <w:p w:rsidR="00E569D9" w:rsidRDefault="00E569D9" w:rsidP="00C52C46">
                  <w:pPr>
                    <w:ind w:left="993" w:right="1257"/>
                  </w:pPr>
                  <w:r>
                    <w:t>The first part of this summary provides a broad overview of the Project, including the rationale for undertaking it as a Public Private Partnership (PPP), a summary of the tender process, the value-for-money calculation for the Project and the Project timetable. The second part focuses in more detail on the key commercial features of the Project, including the main parties and their general obligations, the broad allocation of risk between the public and private sectors and the treatment of various key Project issues.</w:t>
                  </w:r>
                </w:p>
                <w:p w:rsidR="00E569D9" w:rsidRDefault="00E569D9" w:rsidP="00A96741">
                  <w:pPr>
                    <w:ind w:left="993" w:right="1257"/>
                  </w:pPr>
                  <w:r>
                    <w:t xml:space="preserve">The ACT government is committed to providing better services by expanding and improving the Territory’s public infrastructure and service delivery and, where appropriate, using private sector expertise to design, finance, build, operate and maintain infrastructure projects.  To achieve this objective the ACT government has set out in </w:t>
                  </w:r>
                  <w:r>
                    <w:rPr>
                      <w:i/>
                      <w:iCs/>
                    </w:rPr>
                    <w:t>The Partnerships Framework – Guidelines for Public Private Partnerships</w:t>
                  </w:r>
                  <w:r w:rsidRPr="00B619C4">
                    <w:rPr>
                      <w:iCs/>
                    </w:rPr>
                    <w:t xml:space="preserve"> </w:t>
                  </w:r>
                  <w:r>
                    <w:rPr>
                      <w:iCs/>
                    </w:rPr>
                    <w:t xml:space="preserve">to </w:t>
                  </w:r>
                  <w:r>
                    <w:t xml:space="preserve">provide a transparent framework for the development and delivery of PPP projects. The Partnerships Framework adheres to the </w:t>
                  </w:r>
                  <w:r>
                    <w:rPr>
                      <w:i/>
                      <w:iCs/>
                    </w:rPr>
                    <w:t xml:space="preserve">National Public Private Partnerships Guidelines </w:t>
                  </w:r>
                  <w:r>
                    <w:t xml:space="preserve">and links with existing government policy on capital procurement and funding. Further information on the framework is available at </w:t>
                  </w:r>
                  <w:hyperlink r:id="rId14" w:history="1">
                    <w:r w:rsidRPr="004303F4">
                      <w:rPr>
                        <w:rStyle w:val="Hyperlink"/>
                      </w:rPr>
                      <w:t>http://apps.treasury.act.gov.au/partnerships-framework</w:t>
                    </w:r>
                  </w:hyperlink>
                  <w:r>
                    <w:t>.</w:t>
                  </w:r>
                </w:p>
                <w:p w:rsidR="00E569D9" w:rsidRDefault="00E569D9" w:rsidP="00C52C46">
                  <w:pPr>
                    <w:ind w:left="993" w:right="1257"/>
                  </w:pPr>
                  <w:r>
                    <w:t xml:space="preserve">This summary should not be relied on as a complete description of the rights and obligations of the parties in respect of the Project which are governed by the ACT Law Courts Project Agreement and associated Project documentation. The Project Agreement is available online at </w:t>
                  </w:r>
                  <w:hyperlink r:id="rId15" w:history="1">
                    <w:r w:rsidRPr="004303F4">
                      <w:rPr>
                        <w:rStyle w:val="Hyperlink"/>
                      </w:rPr>
                      <w:t>www.procurement.act.gov.au/contracts</w:t>
                    </w:r>
                  </w:hyperlink>
                  <w:r>
                    <w:t>.</w:t>
                  </w:r>
                  <w:r w:rsidRPr="001448BD">
                    <w:rPr>
                      <w:noProof/>
                    </w:rPr>
                    <w:t xml:space="preserve"> </w:t>
                  </w:r>
                </w:p>
              </w:txbxContent>
            </v:textbox>
            <w10:wrap anchorx="page" anchory="page"/>
          </v:rect>
        </w:pict>
      </w:r>
      <w:r w:rsidR="00853CA3">
        <w:rPr>
          <w:noProof/>
          <w:lang w:eastAsia="en-AU"/>
        </w:rPr>
        <w:drawing>
          <wp:anchor distT="0" distB="0" distL="114300" distR="114300" simplePos="0" relativeHeight="251676672" behindDoc="1" locked="0" layoutInCell="1" allowOverlap="1">
            <wp:simplePos x="0" y="0"/>
            <wp:positionH relativeFrom="column">
              <wp:posOffset>-1012825</wp:posOffset>
            </wp:positionH>
            <wp:positionV relativeFrom="paragraph">
              <wp:posOffset>-1080135</wp:posOffset>
            </wp:positionV>
            <wp:extent cx="7569200" cy="10699115"/>
            <wp:effectExtent l="19050" t="0" r="0" b="0"/>
            <wp:wrapNone/>
            <wp:docPr id="13" name="Picture 2" descr="Decorative background"/>
            <wp:cNvGraphicFramePr/>
            <a:graphic xmlns:a="http://schemas.openxmlformats.org/drawingml/2006/main">
              <a:graphicData uri="http://schemas.openxmlformats.org/drawingml/2006/picture">
                <pic:pic xmlns:pic="http://schemas.openxmlformats.org/drawingml/2006/picture">
                  <pic:nvPicPr>
                    <pic:cNvPr id="10" name="Picture 9" descr="CBR-Branding_2.png"/>
                    <pic:cNvPicPr>
                      <a:picLocks noChangeAspect="1"/>
                    </pic:cNvPicPr>
                  </pic:nvPicPr>
                  <pic:blipFill>
                    <a:blip r:embed="rId16" cstate="print"/>
                    <a:srcRect/>
                    <a:stretch>
                      <a:fillRect/>
                    </a:stretch>
                  </pic:blipFill>
                  <pic:spPr>
                    <a:xfrm flipH="1">
                      <a:off x="0" y="0"/>
                      <a:ext cx="7569200" cy="10699115"/>
                    </a:xfrm>
                    <a:prstGeom prst="rect">
                      <a:avLst/>
                    </a:prstGeom>
                  </pic:spPr>
                </pic:pic>
              </a:graphicData>
            </a:graphic>
          </wp:anchor>
        </w:drawing>
      </w:r>
    </w:p>
    <w:p w:rsidR="00EA5765" w:rsidRDefault="00EA5765" w:rsidP="00CB7AF2"/>
    <w:p w:rsidR="00EA5765" w:rsidRDefault="00EA5765" w:rsidP="00CB7AF2"/>
    <w:p w:rsidR="00C1388C" w:rsidRDefault="00842A29" w:rsidP="00127057">
      <w:r>
        <w:rPr>
          <w:noProof/>
          <w:lang w:eastAsia="en-AU"/>
        </w:rPr>
        <w:drawing>
          <wp:anchor distT="0" distB="0" distL="114300" distR="114300" simplePos="0" relativeHeight="251680768" behindDoc="0" locked="0" layoutInCell="1" allowOverlap="1">
            <wp:simplePos x="0" y="0"/>
            <wp:positionH relativeFrom="column">
              <wp:posOffset>-1006475</wp:posOffset>
            </wp:positionH>
            <wp:positionV relativeFrom="paragraph">
              <wp:posOffset>4646295</wp:posOffset>
            </wp:positionV>
            <wp:extent cx="7588885" cy="3829685"/>
            <wp:effectExtent l="190500" t="152400" r="164465" b="132715"/>
            <wp:wrapNone/>
            <wp:docPr id="20" name="Picture 8" descr="Internal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olee\AppData\Local\Microsoft\Windows\Temporary Internet Files\Content.Word\MEZ 02 - PS_HIRES.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7588885" cy="3829685"/>
                    </a:xfrm>
                    <a:prstGeom prst="rect">
                      <a:avLst/>
                    </a:prstGeom>
                    <a:ln>
                      <a:noFill/>
                    </a:ln>
                    <a:effectLst>
                      <a:outerShdw blurRad="190500" algn="tl" rotWithShape="0">
                        <a:srgbClr val="000000">
                          <a:alpha val="70000"/>
                        </a:srgbClr>
                      </a:outerShdw>
                    </a:effectLst>
                  </pic:spPr>
                </pic:pic>
              </a:graphicData>
            </a:graphic>
          </wp:anchor>
        </w:drawing>
      </w:r>
    </w:p>
    <w:p w:rsidR="00C1388C" w:rsidRDefault="00C1388C" w:rsidP="00C1388C">
      <w:pPr>
        <w:sectPr w:rsidR="00C1388C" w:rsidSect="006E7E7F">
          <w:footerReference w:type="even" r:id="rId18"/>
          <w:footerReference w:type="default" r:id="rId19"/>
          <w:pgSz w:w="11906" w:h="16838" w:code="9"/>
          <w:pgMar w:top="1701" w:right="1418" w:bottom="1701" w:left="1588" w:header="680" w:footer="567" w:gutter="0"/>
          <w:pgNumType w:fmt="lowerRoman" w:start="1"/>
          <w:cols w:space="708"/>
          <w:docGrid w:linePitch="360"/>
        </w:sectPr>
      </w:pPr>
    </w:p>
    <w:p w:rsidR="00C636DA" w:rsidRDefault="00BA7F6E" w:rsidP="00BA7F6E">
      <w:pPr>
        <w:pStyle w:val="NotTOCHeading"/>
        <w:spacing w:before="1680"/>
      </w:pPr>
      <w:r w:rsidRPr="00BA7F6E">
        <w:rPr>
          <w:noProof/>
          <w:lang w:eastAsia="en-AU"/>
        </w:rPr>
        <w:lastRenderedPageBreak/>
        <w:drawing>
          <wp:anchor distT="0" distB="0" distL="114300" distR="114300" simplePos="0" relativeHeight="251684864" behindDoc="0" locked="0" layoutInCell="1" allowOverlap="1">
            <wp:simplePos x="0" y="0"/>
            <wp:positionH relativeFrom="column">
              <wp:posOffset>4464685</wp:posOffset>
            </wp:positionH>
            <wp:positionV relativeFrom="page">
              <wp:posOffset>540385</wp:posOffset>
            </wp:positionV>
            <wp:extent cx="1450155" cy="729465"/>
            <wp:effectExtent l="19050" t="0" r="0" b="0"/>
            <wp:wrapNone/>
            <wp:docPr id="16" name="Picture 3" descr="ACT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T white.pn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1450155" cy="729465"/>
                    </a:xfrm>
                    <a:prstGeom prst="rect">
                      <a:avLst/>
                    </a:prstGeom>
                  </pic:spPr>
                </pic:pic>
              </a:graphicData>
            </a:graphic>
          </wp:anchor>
        </w:drawing>
      </w:r>
      <w:r>
        <w:rPr>
          <w:noProof/>
          <w:lang w:eastAsia="en-AU"/>
        </w:rPr>
        <w:drawing>
          <wp:anchor distT="0" distB="0" distL="114300" distR="114300" simplePos="0" relativeHeight="251681792" behindDoc="1" locked="0" layoutInCell="1" allowOverlap="1">
            <wp:simplePos x="0" y="0"/>
            <wp:positionH relativeFrom="column">
              <wp:posOffset>-1158719</wp:posOffset>
            </wp:positionH>
            <wp:positionV relativeFrom="paragraph">
              <wp:posOffset>-1080135</wp:posOffset>
            </wp:positionV>
            <wp:extent cx="7593630" cy="10696755"/>
            <wp:effectExtent l="19050" t="0" r="7320" b="0"/>
            <wp:wrapNone/>
            <wp:docPr id="14" name="Picture 3" descr="Decorative background"/>
            <wp:cNvGraphicFramePr/>
            <a:graphic xmlns:a="http://schemas.openxmlformats.org/drawingml/2006/main">
              <a:graphicData uri="http://schemas.openxmlformats.org/drawingml/2006/picture">
                <pic:pic xmlns:pic="http://schemas.openxmlformats.org/drawingml/2006/picture">
                  <pic:nvPicPr>
                    <pic:cNvPr id="6" name="Picture 5" descr="CBR-Branding_2.png"/>
                    <pic:cNvPicPr>
                      <a:picLocks noChangeAspect="1"/>
                    </pic:cNvPicPr>
                  </pic:nvPicPr>
                  <pic:blipFill>
                    <a:blip r:embed="rId20" cstate="print"/>
                    <a:srcRect b="6615"/>
                    <a:stretch>
                      <a:fillRect/>
                    </a:stretch>
                  </pic:blipFill>
                  <pic:spPr>
                    <a:xfrm>
                      <a:off x="0" y="0"/>
                      <a:ext cx="7593630" cy="10696755"/>
                    </a:xfrm>
                    <a:prstGeom prst="rect">
                      <a:avLst/>
                    </a:prstGeom>
                  </pic:spPr>
                </pic:pic>
              </a:graphicData>
            </a:graphic>
          </wp:anchor>
        </w:drawing>
      </w:r>
      <w:r w:rsidR="00C636DA" w:rsidRPr="003E6BF6">
        <w:t>Contents</w:t>
      </w:r>
    </w:p>
    <w:bookmarkStart w:id="0" w:name="_GoBack"/>
    <w:bookmarkEnd w:id="0"/>
    <w:p w:rsidR="0009783C" w:rsidRDefault="00016AC7">
      <w:pPr>
        <w:pStyle w:val="TOC1"/>
        <w:rPr>
          <w:rFonts w:asciiTheme="minorHAnsi" w:eastAsiaTheme="minorEastAsia" w:hAnsiTheme="minorHAnsi"/>
          <w:b w:val="0"/>
          <w:noProof/>
          <w:color w:val="auto"/>
          <w:sz w:val="22"/>
          <w:lang w:eastAsia="en-AU"/>
        </w:rPr>
      </w:pPr>
      <w:r w:rsidRPr="00016AC7">
        <w:fldChar w:fldCharType="begin"/>
      </w:r>
      <w:r w:rsidR="001343E9">
        <w:instrText xml:space="preserve"> TOC \o "2-2" \h \z \t "Heading 1,1,TOC Heading,1,Appendix Heading,1" </w:instrText>
      </w:r>
      <w:r w:rsidRPr="00016AC7">
        <w:fldChar w:fldCharType="separate"/>
      </w:r>
      <w:hyperlink w:anchor="_Toc453768985" w:history="1">
        <w:r w:rsidR="0009783C" w:rsidRPr="002E359E">
          <w:rPr>
            <w:rStyle w:val="Hyperlink"/>
            <w:noProof/>
          </w:rPr>
          <w:t>1.0</w:t>
        </w:r>
        <w:r w:rsidR="0009783C">
          <w:rPr>
            <w:rFonts w:asciiTheme="minorHAnsi" w:eastAsiaTheme="minorEastAsia" w:hAnsiTheme="minorHAnsi"/>
            <w:b w:val="0"/>
            <w:noProof/>
            <w:color w:val="auto"/>
            <w:sz w:val="22"/>
            <w:lang w:eastAsia="en-AU"/>
          </w:rPr>
          <w:tab/>
        </w:r>
        <w:r w:rsidR="0009783C" w:rsidRPr="002E359E">
          <w:rPr>
            <w:rStyle w:val="Hyperlink"/>
            <w:noProof/>
          </w:rPr>
          <w:t>Project Overview</w:t>
        </w:r>
        <w:r w:rsidR="0009783C">
          <w:rPr>
            <w:noProof/>
            <w:webHidden/>
          </w:rPr>
          <w:tab/>
        </w:r>
        <w:r>
          <w:rPr>
            <w:noProof/>
            <w:webHidden/>
          </w:rPr>
          <w:fldChar w:fldCharType="begin"/>
        </w:r>
        <w:r w:rsidR="0009783C">
          <w:rPr>
            <w:noProof/>
            <w:webHidden/>
          </w:rPr>
          <w:instrText xml:space="preserve"> PAGEREF _Toc453768985 \h </w:instrText>
        </w:r>
        <w:r>
          <w:rPr>
            <w:noProof/>
            <w:webHidden/>
          </w:rPr>
        </w:r>
        <w:r>
          <w:rPr>
            <w:noProof/>
            <w:webHidden/>
          </w:rPr>
          <w:fldChar w:fldCharType="separate"/>
        </w:r>
        <w:r w:rsidR="00F55362">
          <w:rPr>
            <w:noProof/>
            <w:webHidden/>
          </w:rPr>
          <w:t>1</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86" w:history="1">
        <w:r w:rsidR="0009783C" w:rsidRPr="002E359E">
          <w:rPr>
            <w:rStyle w:val="Hyperlink"/>
            <w:noProof/>
          </w:rPr>
          <w:t>1.1</w:t>
        </w:r>
        <w:r w:rsidR="0009783C">
          <w:rPr>
            <w:rFonts w:asciiTheme="minorHAnsi" w:eastAsiaTheme="minorEastAsia" w:hAnsiTheme="minorHAnsi"/>
            <w:noProof/>
            <w:lang w:eastAsia="en-AU"/>
          </w:rPr>
          <w:tab/>
        </w:r>
        <w:r w:rsidR="0009783C" w:rsidRPr="002E359E">
          <w:rPr>
            <w:rStyle w:val="Hyperlink"/>
            <w:noProof/>
          </w:rPr>
          <w:t>The ACT Law Courts Project</w:t>
        </w:r>
        <w:r w:rsidR="0009783C">
          <w:rPr>
            <w:noProof/>
            <w:webHidden/>
          </w:rPr>
          <w:tab/>
        </w:r>
        <w:r>
          <w:rPr>
            <w:noProof/>
            <w:webHidden/>
          </w:rPr>
          <w:fldChar w:fldCharType="begin"/>
        </w:r>
        <w:r w:rsidR="0009783C">
          <w:rPr>
            <w:noProof/>
            <w:webHidden/>
          </w:rPr>
          <w:instrText xml:space="preserve"> PAGEREF _Toc453768986 \h </w:instrText>
        </w:r>
        <w:r>
          <w:rPr>
            <w:noProof/>
            <w:webHidden/>
          </w:rPr>
        </w:r>
        <w:r>
          <w:rPr>
            <w:noProof/>
            <w:webHidden/>
          </w:rPr>
          <w:fldChar w:fldCharType="separate"/>
        </w:r>
        <w:r w:rsidR="00F55362">
          <w:rPr>
            <w:noProof/>
            <w:webHidden/>
          </w:rPr>
          <w:t>1</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87" w:history="1">
        <w:r w:rsidR="0009783C" w:rsidRPr="002E359E">
          <w:rPr>
            <w:rStyle w:val="Hyperlink"/>
            <w:noProof/>
          </w:rPr>
          <w:t>1.2</w:t>
        </w:r>
        <w:r w:rsidR="0009783C">
          <w:rPr>
            <w:rFonts w:asciiTheme="minorHAnsi" w:eastAsiaTheme="minorEastAsia" w:hAnsiTheme="minorHAnsi"/>
            <w:noProof/>
            <w:lang w:eastAsia="en-AU"/>
          </w:rPr>
          <w:tab/>
        </w:r>
        <w:r w:rsidR="0009783C" w:rsidRPr="002E359E">
          <w:rPr>
            <w:rStyle w:val="Hyperlink"/>
            <w:noProof/>
          </w:rPr>
          <w:t>ACT Partnerships Framework</w:t>
        </w:r>
        <w:r w:rsidR="0009783C">
          <w:rPr>
            <w:noProof/>
            <w:webHidden/>
          </w:rPr>
          <w:tab/>
        </w:r>
        <w:r>
          <w:rPr>
            <w:noProof/>
            <w:webHidden/>
          </w:rPr>
          <w:fldChar w:fldCharType="begin"/>
        </w:r>
        <w:r w:rsidR="0009783C">
          <w:rPr>
            <w:noProof/>
            <w:webHidden/>
          </w:rPr>
          <w:instrText xml:space="preserve"> PAGEREF _Toc453768987 \h </w:instrText>
        </w:r>
        <w:r>
          <w:rPr>
            <w:noProof/>
            <w:webHidden/>
          </w:rPr>
        </w:r>
        <w:r>
          <w:rPr>
            <w:noProof/>
            <w:webHidden/>
          </w:rPr>
          <w:fldChar w:fldCharType="separate"/>
        </w:r>
        <w:r w:rsidR="00F55362">
          <w:rPr>
            <w:noProof/>
            <w:webHidden/>
          </w:rPr>
          <w:t>8</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88" w:history="1">
        <w:r w:rsidR="0009783C" w:rsidRPr="002E359E">
          <w:rPr>
            <w:rStyle w:val="Hyperlink"/>
            <w:noProof/>
          </w:rPr>
          <w:t>1.3</w:t>
        </w:r>
        <w:r w:rsidR="0009783C">
          <w:rPr>
            <w:rFonts w:asciiTheme="minorHAnsi" w:eastAsiaTheme="minorEastAsia" w:hAnsiTheme="minorHAnsi"/>
            <w:noProof/>
            <w:lang w:eastAsia="en-AU"/>
          </w:rPr>
          <w:tab/>
        </w:r>
        <w:r w:rsidR="0009783C" w:rsidRPr="002E359E">
          <w:rPr>
            <w:rStyle w:val="Hyperlink"/>
            <w:noProof/>
          </w:rPr>
          <w:t>Tender Process</w:t>
        </w:r>
        <w:r w:rsidR="0009783C">
          <w:rPr>
            <w:noProof/>
            <w:webHidden/>
          </w:rPr>
          <w:tab/>
        </w:r>
        <w:r>
          <w:rPr>
            <w:noProof/>
            <w:webHidden/>
          </w:rPr>
          <w:fldChar w:fldCharType="begin"/>
        </w:r>
        <w:r w:rsidR="0009783C">
          <w:rPr>
            <w:noProof/>
            <w:webHidden/>
          </w:rPr>
          <w:instrText xml:space="preserve"> PAGEREF _Toc453768988 \h </w:instrText>
        </w:r>
        <w:r>
          <w:rPr>
            <w:noProof/>
            <w:webHidden/>
          </w:rPr>
        </w:r>
        <w:r>
          <w:rPr>
            <w:noProof/>
            <w:webHidden/>
          </w:rPr>
          <w:fldChar w:fldCharType="separate"/>
        </w:r>
        <w:r w:rsidR="00F55362">
          <w:rPr>
            <w:noProof/>
            <w:webHidden/>
          </w:rPr>
          <w:t>9</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89" w:history="1">
        <w:r w:rsidR="0009783C" w:rsidRPr="002E359E">
          <w:rPr>
            <w:rStyle w:val="Hyperlink"/>
            <w:noProof/>
          </w:rPr>
          <w:t>1.4</w:t>
        </w:r>
        <w:r w:rsidR="0009783C">
          <w:rPr>
            <w:rFonts w:asciiTheme="minorHAnsi" w:eastAsiaTheme="minorEastAsia" w:hAnsiTheme="minorHAnsi"/>
            <w:noProof/>
            <w:lang w:eastAsia="en-AU"/>
          </w:rPr>
          <w:tab/>
        </w:r>
        <w:r w:rsidR="0009783C" w:rsidRPr="002E359E">
          <w:rPr>
            <w:rStyle w:val="Hyperlink"/>
            <w:noProof/>
          </w:rPr>
          <w:t>Value for Money</w:t>
        </w:r>
        <w:r w:rsidR="0009783C">
          <w:rPr>
            <w:noProof/>
            <w:webHidden/>
          </w:rPr>
          <w:tab/>
        </w:r>
        <w:r>
          <w:rPr>
            <w:noProof/>
            <w:webHidden/>
          </w:rPr>
          <w:fldChar w:fldCharType="begin"/>
        </w:r>
        <w:r w:rsidR="0009783C">
          <w:rPr>
            <w:noProof/>
            <w:webHidden/>
          </w:rPr>
          <w:instrText xml:space="preserve"> PAGEREF _Toc453768989 \h </w:instrText>
        </w:r>
        <w:r>
          <w:rPr>
            <w:noProof/>
            <w:webHidden/>
          </w:rPr>
        </w:r>
        <w:r>
          <w:rPr>
            <w:noProof/>
            <w:webHidden/>
          </w:rPr>
          <w:fldChar w:fldCharType="separate"/>
        </w:r>
        <w:r w:rsidR="00F55362">
          <w:rPr>
            <w:noProof/>
            <w:webHidden/>
          </w:rPr>
          <w:t>11</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0" w:history="1">
        <w:r w:rsidR="0009783C" w:rsidRPr="002E359E">
          <w:rPr>
            <w:rStyle w:val="Hyperlink"/>
            <w:noProof/>
          </w:rPr>
          <w:t>1.5</w:t>
        </w:r>
        <w:r w:rsidR="0009783C">
          <w:rPr>
            <w:rFonts w:asciiTheme="minorHAnsi" w:eastAsiaTheme="minorEastAsia" w:hAnsiTheme="minorHAnsi"/>
            <w:noProof/>
            <w:lang w:eastAsia="en-AU"/>
          </w:rPr>
          <w:tab/>
        </w:r>
        <w:r w:rsidR="0009783C" w:rsidRPr="002E359E">
          <w:rPr>
            <w:rStyle w:val="Hyperlink"/>
            <w:noProof/>
          </w:rPr>
          <w:t>Project Milestones</w:t>
        </w:r>
        <w:r w:rsidR="0009783C">
          <w:rPr>
            <w:noProof/>
            <w:webHidden/>
          </w:rPr>
          <w:tab/>
        </w:r>
        <w:r>
          <w:rPr>
            <w:noProof/>
            <w:webHidden/>
          </w:rPr>
          <w:fldChar w:fldCharType="begin"/>
        </w:r>
        <w:r w:rsidR="0009783C">
          <w:rPr>
            <w:noProof/>
            <w:webHidden/>
          </w:rPr>
          <w:instrText xml:space="preserve"> PAGEREF _Toc453768990 \h </w:instrText>
        </w:r>
        <w:r>
          <w:rPr>
            <w:noProof/>
            <w:webHidden/>
          </w:rPr>
        </w:r>
        <w:r>
          <w:rPr>
            <w:noProof/>
            <w:webHidden/>
          </w:rPr>
          <w:fldChar w:fldCharType="separate"/>
        </w:r>
        <w:r w:rsidR="00F55362">
          <w:rPr>
            <w:noProof/>
            <w:webHidden/>
          </w:rPr>
          <w:t>16</w:t>
        </w:r>
        <w:r>
          <w:rPr>
            <w:noProof/>
            <w:webHidden/>
          </w:rPr>
          <w:fldChar w:fldCharType="end"/>
        </w:r>
      </w:hyperlink>
    </w:p>
    <w:p w:rsidR="0009783C" w:rsidRDefault="00016AC7">
      <w:pPr>
        <w:pStyle w:val="TOC1"/>
        <w:rPr>
          <w:rFonts w:asciiTheme="minorHAnsi" w:eastAsiaTheme="minorEastAsia" w:hAnsiTheme="minorHAnsi"/>
          <w:b w:val="0"/>
          <w:noProof/>
          <w:color w:val="auto"/>
          <w:sz w:val="22"/>
          <w:lang w:eastAsia="en-AU"/>
        </w:rPr>
      </w:pPr>
      <w:hyperlink w:anchor="_Toc453768991" w:history="1">
        <w:r w:rsidR="0009783C" w:rsidRPr="002E359E">
          <w:rPr>
            <w:rStyle w:val="Hyperlink"/>
            <w:noProof/>
          </w:rPr>
          <w:t>2.0</w:t>
        </w:r>
        <w:r w:rsidR="0009783C">
          <w:rPr>
            <w:rFonts w:asciiTheme="minorHAnsi" w:eastAsiaTheme="minorEastAsia" w:hAnsiTheme="minorHAnsi"/>
            <w:b w:val="0"/>
            <w:noProof/>
            <w:color w:val="auto"/>
            <w:sz w:val="22"/>
            <w:lang w:eastAsia="en-AU"/>
          </w:rPr>
          <w:tab/>
        </w:r>
        <w:r w:rsidR="0009783C" w:rsidRPr="002E359E">
          <w:rPr>
            <w:rStyle w:val="Hyperlink"/>
            <w:noProof/>
          </w:rPr>
          <w:t>Commercial Features</w:t>
        </w:r>
        <w:r w:rsidR="0009783C">
          <w:rPr>
            <w:noProof/>
            <w:webHidden/>
          </w:rPr>
          <w:tab/>
        </w:r>
        <w:r>
          <w:rPr>
            <w:noProof/>
            <w:webHidden/>
          </w:rPr>
          <w:fldChar w:fldCharType="begin"/>
        </w:r>
        <w:r w:rsidR="0009783C">
          <w:rPr>
            <w:noProof/>
            <w:webHidden/>
          </w:rPr>
          <w:instrText xml:space="preserve"> PAGEREF _Toc453768991 \h </w:instrText>
        </w:r>
        <w:r>
          <w:rPr>
            <w:noProof/>
            <w:webHidden/>
          </w:rPr>
        </w:r>
        <w:r>
          <w:rPr>
            <w:noProof/>
            <w:webHidden/>
          </w:rPr>
          <w:fldChar w:fldCharType="separate"/>
        </w:r>
        <w:r w:rsidR="00F55362">
          <w:rPr>
            <w:noProof/>
            <w:webHidden/>
          </w:rPr>
          <w:t>17</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2" w:history="1">
        <w:r w:rsidR="0009783C" w:rsidRPr="002E359E">
          <w:rPr>
            <w:rStyle w:val="Hyperlink"/>
            <w:noProof/>
          </w:rPr>
          <w:t>2.1</w:t>
        </w:r>
        <w:r w:rsidR="0009783C">
          <w:rPr>
            <w:rFonts w:asciiTheme="minorHAnsi" w:eastAsiaTheme="minorEastAsia" w:hAnsiTheme="minorHAnsi"/>
            <w:noProof/>
            <w:lang w:eastAsia="en-AU"/>
          </w:rPr>
          <w:tab/>
        </w:r>
        <w:r w:rsidR="0009783C" w:rsidRPr="002E359E">
          <w:rPr>
            <w:rStyle w:val="Hyperlink"/>
            <w:noProof/>
          </w:rPr>
          <w:t>Project Documents</w:t>
        </w:r>
        <w:r w:rsidR="0009783C">
          <w:rPr>
            <w:noProof/>
            <w:webHidden/>
          </w:rPr>
          <w:tab/>
        </w:r>
        <w:r>
          <w:rPr>
            <w:noProof/>
            <w:webHidden/>
          </w:rPr>
          <w:fldChar w:fldCharType="begin"/>
        </w:r>
        <w:r w:rsidR="0009783C">
          <w:rPr>
            <w:noProof/>
            <w:webHidden/>
          </w:rPr>
          <w:instrText xml:space="preserve"> PAGEREF _Toc453768992 \h </w:instrText>
        </w:r>
        <w:r>
          <w:rPr>
            <w:noProof/>
            <w:webHidden/>
          </w:rPr>
        </w:r>
        <w:r>
          <w:rPr>
            <w:noProof/>
            <w:webHidden/>
          </w:rPr>
          <w:fldChar w:fldCharType="separate"/>
        </w:r>
        <w:r w:rsidR="00F55362">
          <w:rPr>
            <w:noProof/>
            <w:webHidden/>
          </w:rPr>
          <w:t>17</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3" w:history="1">
        <w:r w:rsidR="0009783C" w:rsidRPr="002E359E">
          <w:rPr>
            <w:rStyle w:val="Hyperlink"/>
            <w:noProof/>
          </w:rPr>
          <w:t>2.2</w:t>
        </w:r>
        <w:r w:rsidR="0009783C">
          <w:rPr>
            <w:rFonts w:asciiTheme="minorHAnsi" w:eastAsiaTheme="minorEastAsia" w:hAnsiTheme="minorHAnsi"/>
            <w:noProof/>
            <w:lang w:eastAsia="en-AU"/>
          </w:rPr>
          <w:tab/>
        </w:r>
        <w:r w:rsidR="0009783C" w:rsidRPr="002E359E">
          <w:rPr>
            <w:rStyle w:val="Hyperlink"/>
            <w:noProof/>
          </w:rPr>
          <w:t>Parties to the Project Agreement and Documents</w:t>
        </w:r>
        <w:r w:rsidR="0009783C">
          <w:rPr>
            <w:noProof/>
            <w:webHidden/>
          </w:rPr>
          <w:tab/>
        </w:r>
        <w:r>
          <w:rPr>
            <w:noProof/>
            <w:webHidden/>
          </w:rPr>
          <w:fldChar w:fldCharType="begin"/>
        </w:r>
        <w:r w:rsidR="0009783C">
          <w:rPr>
            <w:noProof/>
            <w:webHidden/>
          </w:rPr>
          <w:instrText xml:space="preserve"> PAGEREF _Toc453768993 \h </w:instrText>
        </w:r>
        <w:r>
          <w:rPr>
            <w:noProof/>
            <w:webHidden/>
          </w:rPr>
        </w:r>
        <w:r>
          <w:rPr>
            <w:noProof/>
            <w:webHidden/>
          </w:rPr>
          <w:fldChar w:fldCharType="separate"/>
        </w:r>
        <w:r w:rsidR="00F55362">
          <w:rPr>
            <w:noProof/>
            <w:webHidden/>
          </w:rPr>
          <w:t>17</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4" w:history="1">
        <w:r w:rsidR="0009783C" w:rsidRPr="002E359E">
          <w:rPr>
            <w:rStyle w:val="Hyperlink"/>
            <w:noProof/>
          </w:rPr>
          <w:t>2.3</w:t>
        </w:r>
        <w:r w:rsidR="0009783C">
          <w:rPr>
            <w:rFonts w:asciiTheme="minorHAnsi" w:eastAsiaTheme="minorEastAsia" w:hAnsiTheme="minorHAnsi"/>
            <w:noProof/>
            <w:lang w:eastAsia="en-AU"/>
          </w:rPr>
          <w:tab/>
        </w:r>
        <w:r w:rsidR="0009783C" w:rsidRPr="002E359E">
          <w:rPr>
            <w:rStyle w:val="Hyperlink"/>
            <w:noProof/>
          </w:rPr>
          <w:t>Risk Transfer</w:t>
        </w:r>
        <w:r w:rsidR="0009783C">
          <w:rPr>
            <w:noProof/>
            <w:webHidden/>
          </w:rPr>
          <w:tab/>
        </w:r>
        <w:r>
          <w:rPr>
            <w:noProof/>
            <w:webHidden/>
          </w:rPr>
          <w:fldChar w:fldCharType="begin"/>
        </w:r>
        <w:r w:rsidR="0009783C">
          <w:rPr>
            <w:noProof/>
            <w:webHidden/>
          </w:rPr>
          <w:instrText xml:space="preserve"> PAGEREF _Toc453768994 \h </w:instrText>
        </w:r>
        <w:r>
          <w:rPr>
            <w:noProof/>
            <w:webHidden/>
          </w:rPr>
        </w:r>
        <w:r>
          <w:rPr>
            <w:noProof/>
            <w:webHidden/>
          </w:rPr>
          <w:fldChar w:fldCharType="separate"/>
        </w:r>
        <w:r w:rsidR="00F55362">
          <w:rPr>
            <w:noProof/>
            <w:webHidden/>
          </w:rPr>
          <w:t>18</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5" w:history="1">
        <w:r w:rsidR="0009783C" w:rsidRPr="002E359E">
          <w:rPr>
            <w:rStyle w:val="Hyperlink"/>
            <w:noProof/>
          </w:rPr>
          <w:t>2.4</w:t>
        </w:r>
        <w:r w:rsidR="0009783C">
          <w:rPr>
            <w:rFonts w:asciiTheme="minorHAnsi" w:eastAsiaTheme="minorEastAsia" w:hAnsiTheme="minorHAnsi"/>
            <w:noProof/>
            <w:lang w:eastAsia="en-AU"/>
          </w:rPr>
          <w:tab/>
        </w:r>
        <w:r w:rsidR="0009783C" w:rsidRPr="002E359E">
          <w:rPr>
            <w:rStyle w:val="Hyperlink"/>
            <w:noProof/>
          </w:rPr>
          <w:t>General Obligations of Juris Partnership</w:t>
        </w:r>
        <w:r w:rsidR="0009783C">
          <w:rPr>
            <w:noProof/>
            <w:webHidden/>
          </w:rPr>
          <w:tab/>
        </w:r>
        <w:r>
          <w:rPr>
            <w:noProof/>
            <w:webHidden/>
          </w:rPr>
          <w:fldChar w:fldCharType="begin"/>
        </w:r>
        <w:r w:rsidR="0009783C">
          <w:rPr>
            <w:noProof/>
            <w:webHidden/>
          </w:rPr>
          <w:instrText xml:space="preserve"> PAGEREF _Toc453768995 \h </w:instrText>
        </w:r>
        <w:r>
          <w:rPr>
            <w:noProof/>
            <w:webHidden/>
          </w:rPr>
        </w:r>
        <w:r>
          <w:rPr>
            <w:noProof/>
            <w:webHidden/>
          </w:rPr>
          <w:fldChar w:fldCharType="separate"/>
        </w:r>
        <w:r w:rsidR="00F55362">
          <w:rPr>
            <w:noProof/>
            <w:webHidden/>
          </w:rPr>
          <w:t>21</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6" w:history="1">
        <w:r w:rsidR="0009783C" w:rsidRPr="002E359E">
          <w:rPr>
            <w:rStyle w:val="Hyperlink"/>
            <w:noProof/>
          </w:rPr>
          <w:t>2.5</w:t>
        </w:r>
        <w:r w:rsidR="0009783C">
          <w:rPr>
            <w:rFonts w:asciiTheme="minorHAnsi" w:eastAsiaTheme="minorEastAsia" w:hAnsiTheme="minorHAnsi"/>
            <w:noProof/>
            <w:lang w:eastAsia="en-AU"/>
          </w:rPr>
          <w:tab/>
        </w:r>
        <w:r w:rsidR="0009783C" w:rsidRPr="002E359E">
          <w:rPr>
            <w:rStyle w:val="Hyperlink"/>
            <w:noProof/>
          </w:rPr>
          <w:t>General Obligations of the Territory</w:t>
        </w:r>
        <w:r w:rsidR="0009783C">
          <w:rPr>
            <w:noProof/>
            <w:webHidden/>
          </w:rPr>
          <w:tab/>
        </w:r>
        <w:r>
          <w:rPr>
            <w:noProof/>
            <w:webHidden/>
          </w:rPr>
          <w:fldChar w:fldCharType="begin"/>
        </w:r>
        <w:r w:rsidR="0009783C">
          <w:rPr>
            <w:noProof/>
            <w:webHidden/>
          </w:rPr>
          <w:instrText xml:space="preserve"> PAGEREF _Toc453768996 \h </w:instrText>
        </w:r>
        <w:r>
          <w:rPr>
            <w:noProof/>
            <w:webHidden/>
          </w:rPr>
        </w:r>
        <w:r>
          <w:rPr>
            <w:noProof/>
            <w:webHidden/>
          </w:rPr>
          <w:fldChar w:fldCharType="separate"/>
        </w:r>
        <w:r w:rsidR="00F55362">
          <w:rPr>
            <w:noProof/>
            <w:webHidden/>
          </w:rPr>
          <w:t>23</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7" w:history="1">
        <w:r w:rsidR="0009783C" w:rsidRPr="002E359E">
          <w:rPr>
            <w:rStyle w:val="Hyperlink"/>
            <w:noProof/>
          </w:rPr>
          <w:t>2.6</w:t>
        </w:r>
        <w:r w:rsidR="0009783C">
          <w:rPr>
            <w:rFonts w:asciiTheme="minorHAnsi" w:eastAsiaTheme="minorEastAsia" w:hAnsiTheme="minorHAnsi"/>
            <w:noProof/>
            <w:lang w:eastAsia="en-AU"/>
          </w:rPr>
          <w:tab/>
        </w:r>
        <w:r w:rsidR="0009783C" w:rsidRPr="002E359E">
          <w:rPr>
            <w:rStyle w:val="Hyperlink"/>
            <w:noProof/>
          </w:rPr>
          <w:t>Payment Mechanism and Abatement Regime</w:t>
        </w:r>
        <w:r w:rsidR="0009783C">
          <w:rPr>
            <w:noProof/>
            <w:webHidden/>
          </w:rPr>
          <w:tab/>
        </w:r>
        <w:r>
          <w:rPr>
            <w:noProof/>
            <w:webHidden/>
          </w:rPr>
          <w:fldChar w:fldCharType="begin"/>
        </w:r>
        <w:r w:rsidR="0009783C">
          <w:rPr>
            <w:noProof/>
            <w:webHidden/>
          </w:rPr>
          <w:instrText xml:space="preserve"> PAGEREF _Toc453768997 \h </w:instrText>
        </w:r>
        <w:r>
          <w:rPr>
            <w:noProof/>
            <w:webHidden/>
          </w:rPr>
        </w:r>
        <w:r>
          <w:rPr>
            <w:noProof/>
            <w:webHidden/>
          </w:rPr>
          <w:fldChar w:fldCharType="separate"/>
        </w:r>
        <w:r w:rsidR="00F55362">
          <w:rPr>
            <w:noProof/>
            <w:webHidden/>
          </w:rPr>
          <w:t>23</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8" w:history="1">
        <w:r w:rsidR="0009783C" w:rsidRPr="002E359E">
          <w:rPr>
            <w:rStyle w:val="Hyperlink"/>
            <w:noProof/>
          </w:rPr>
          <w:t>2.7</w:t>
        </w:r>
        <w:r w:rsidR="0009783C">
          <w:rPr>
            <w:rFonts w:asciiTheme="minorHAnsi" w:eastAsiaTheme="minorEastAsia" w:hAnsiTheme="minorHAnsi"/>
            <w:noProof/>
            <w:lang w:eastAsia="en-AU"/>
          </w:rPr>
          <w:tab/>
        </w:r>
        <w:r w:rsidR="0009783C" w:rsidRPr="002E359E">
          <w:rPr>
            <w:rStyle w:val="Hyperlink"/>
            <w:noProof/>
          </w:rPr>
          <w:t>Default, Termination and Step-In Regimes</w:t>
        </w:r>
        <w:r w:rsidR="0009783C">
          <w:rPr>
            <w:noProof/>
            <w:webHidden/>
          </w:rPr>
          <w:tab/>
        </w:r>
        <w:r>
          <w:rPr>
            <w:noProof/>
            <w:webHidden/>
          </w:rPr>
          <w:fldChar w:fldCharType="begin"/>
        </w:r>
        <w:r w:rsidR="0009783C">
          <w:rPr>
            <w:noProof/>
            <w:webHidden/>
          </w:rPr>
          <w:instrText xml:space="preserve"> PAGEREF _Toc453768998 \h </w:instrText>
        </w:r>
        <w:r>
          <w:rPr>
            <w:noProof/>
            <w:webHidden/>
          </w:rPr>
        </w:r>
        <w:r>
          <w:rPr>
            <w:noProof/>
            <w:webHidden/>
          </w:rPr>
          <w:fldChar w:fldCharType="separate"/>
        </w:r>
        <w:r w:rsidR="00F55362">
          <w:rPr>
            <w:noProof/>
            <w:webHidden/>
          </w:rPr>
          <w:t>26</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8999" w:history="1">
        <w:r w:rsidR="0009783C" w:rsidRPr="002E359E">
          <w:rPr>
            <w:rStyle w:val="Hyperlink"/>
            <w:noProof/>
          </w:rPr>
          <w:t>2.8</w:t>
        </w:r>
        <w:r w:rsidR="0009783C">
          <w:rPr>
            <w:rFonts w:asciiTheme="minorHAnsi" w:eastAsiaTheme="minorEastAsia" w:hAnsiTheme="minorHAnsi"/>
            <w:noProof/>
            <w:lang w:eastAsia="en-AU"/>
          </w:rPr>
          <w:tab/>
        </w:r>
        <w:r w:rsidR="0009783C" w:rsidRPr="002E359E">
          <w:rPr>
            <w:rStyle w:val="Hyperlink"/>
            <w:noProof/>
          </w:rPr>
          <w:t>Finance</w:t>
        </w:r>
        <w:r w:rsidR="0009783C">
          <w:rPr>
            <w:noProof/>
            <w:webHidden/>
          </w:rPr>
          <w:tab/>
        </w:r>
        <w:r>
          <w:rPr>
            <w:noProof/>
            <w:webHidden/>
          </w:rPr>
          <w:fldChar w:fldCharType="begin"/>
        </w:r>
        <w:r w:rsidR="0009783C">
          <w:rPr>
            <w:noProof/>
            <w:webHidden/>
          </w:rPr>
          <w:instrText xml:space="preserve"> PAGEREF _Toc453768999 \h </w:instrText>
        </w:r>
        <w:r>
          <w:rPr>
            <w:noProof/>
            <w:webHidden/>
          </w:rPr>
        </w:r>
        <w:r>
          <w:rPr>
            <w:noProof/>
            <w:webHidden/>
          </w:rPr>
          <w:fldChar w:fldCharType="separate"/>
        </w:r>
        <w:r w:rsidR="00F55362">
          <w:rPr>
            <w:noProof/>
            <w:webHidden/>
          </w:rPr>
          <w:t>27</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9000" w:history="1">
        <w:r w:rsidR="0009783C" w:rsidRPr="002E359E">
          <w:rPr>
            <w:rStyle w:val="Hyperlink"/>
            <w:noProof/>
          </w:rPr>
          <w:t>2.9</w:t>
        </w:r>
        <w:r w:rsidR="0009783C">
          <w:rPr>
            <w:rFonts w:asciiTheme="minorHAnsi" w:eastAsiaTheme="minorEastAsia" w:hAnsiTheme="minorHAnsi"/>
            <w:noProof/>
            <w:lang w:eastAsia="en-AU"/>
          </w:rPr>
          <w:tab/>
        </w:r>
        <w:r w:rsidR="0009783C" w:rsidRPr="002E359E">
          <w:rPr>
            <w:rStyle w:val="Hyperlink"/>
            <w:noProof/>
          </w:rPr>
          <w:t>Fitness for Purpose</w:t>
        </w:r>
        <w:r w:rsidR="0009783C">
          <w:rPr>
            <w:noProof/>
            <w:webHidden/>
          </w:rPr>
          <w:tab/>
        </w:r>
        <w:r>
          <w:rPr>
            <w:noProof/>
            <w:webHidden/>
          </w:rPr>
          <w:fldChar w:fldCharType="begin"/>
        </w:r>
        <w:r w:rsidR="0009783C">
          <w:rPr>
            <w:noProof/>
            <w:webHidden/>
          </w:rPr>
          <w:instrText xml:space="preserve"> PAGEREF _Toc453769000 \h </w:instrText>
        </w:r>
        <w:r>
          <w:rPr>
            <w:noProof/>
            <w:webHidden/>
          </w:rPr>
        </w:r>
        <w:r>
          <w:rPr>
            <w:noProof/>
            <w:webHidden/>
          </w:rPr>
          <w:fldChar w:fldCharType="separate"/>
        </w:r>
        <w:r w:rsidR="00F55362">
          <w:rPr>
            <w:noProof/>
            <w:webHidden/>
          </w:rPr>
          <w:t>28</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9001" w:history="1">
        <w:r w:rsidR="0009783C" w:rsidRPr="002E359E">
          <w:rPr>
            <w:rStyle w:val="Hyperlink"/>
            <w:noProof/>
          </w:rPr>
          <w:t>2.10</w:t>
        </w:r>
        <w:r w:rsidR="0009783C">
          <w:rPr>
            <w:rFonts w:asciiTheme="minorHAnsi" w:eastAsiaTheme="minorEastAsia" w:hAnsiTheme="minorHAnsi"/>
            <w:noProof/>
            <w:lang w:eastAsia="en-AU"/>
          </w:rPr>
          <w:tab/>
        </w:r>
        <w:r w:rsidR="0009783C" w:rsidRPr="002E359E">
          <w:rPr>
            <w:rStyle w:val="Hyperlink"/>
            <w:noProof/>
          </w:rPr>
          <w:t>Territory Rights at Expiry of Contract</w:t>
        </w:r>
        <w:r w:rsidR="0009783C">
          <w:rPr>
            <w:noProof/>
            <w:webHidden/>
          </w:rPr>
          <w:tab/>
        </w:r>
        <w:r>
          <w:rPr>
            <w:noProof/>
            <w:webHidden/>
          </w:rPr>
          <w:fldChar w:fldCharType="begin"/>
        </w:r>
        <w:r w:rsidR="0009783C">
          <w:rPr>
            <w:noProof/>
            <w:webHidden/>
          </w:rPr>
          <w:instrText xml:space="preserve"> PAGEREF _Toc453769001 \h </w:instrText>
        </w:r>
        <w:r>
          <w:rPr>
            <w:noProof/>
            <w:webHidden/>
          </w:rPr>
        </w:r>
        <w:r>
          <w:rPr>
            <w:noProof/>
            <w:webHidden/>
          </w:rPr>
          <w:fldChar w:fldCharType="separate"/>
        </w:r>
        <w:r w:rsidR="00F55362">
          <w:rPr>
            <w:noProof/>
            <w:webHidden/>
          </w:rPr>
          <w:t>28</w:t>
        </w:r>
        <w:r>
          <w:rPr>
            <w:noProof/>
            <w:webHidden/>
          </w:rPr>
          <w:fldChar w:fldCharType="end"/>
        </w:r>
      </w:hyperlink>
    </w:p>
    <w:p w:rsidR="0009783C" w:rsidRDefault="00016AC7">
      <w:pPr>
        <w:pStyle w:val="TOC2"/>
        <w:rPr>
          <w:rFonts w:asciiTheme="minorHAnsi" w:eastAsiaTheme="minorEastAsia" w:hAnsiTheme="minorHAnsi"/>
          <w:noProof/>
          <w:lang w:eastAsia="en-AU"/>
        </w:rPr>
      </w:pPr>
      <w:hyperlink w:anchor="_Toc453769002" w:history="1">
        <w:r w:rsidR="0009783C" w:rsidRPr="002E359E">
          <w:rPr>
            <w:rStyle w:val="Hyperlink"/>
            <w:noProof/>
          </w:rPr>
          <w:t>2.11</w:t>
        </w:r>
        <w:r w:rsidR="0009783C">
          <w:rPr>
            <w:rFonts w:asciiTheme="minorHAnsi" w:eastAsiaTheme="minorEastAsia" w:hAnsiTheme="minorHAnsi"/>
            <w:noProof/>
            <w:lang w:eastAsia="en-AU"/>
          </w:rPr>
          <w:tab/>
        </w:r>
        <w:r w:rsidR="0009783C" w:rsidRPr="002E359E">
          <w:rPr>
            <w:rStyle w:val="Hyperlink"/>
            <w:noProof/>
          </w:rPr>
          <w:t>Current Version</w:t>
        </w:r>
        <w:r w:rsidR="0009783C">
          <w:rPr>
            <w:noProof/>
            <w:webHidden/>
          </w:rPr>
          <w:tab/>
        </w:r>
        <w:r>
          <w:rPr>
            <w:noProof/>
            <w:webHidden/>
          </w:rPr>
          <w:fldChar w:fldCharType="begin"/>
        </w:r>
        <w:r w:rsidR="0009783C">
          <w:rPr>
            <w:noProof/>
            <w:webHidden/>
          </w:rPr>
          <w:instrText xml:space="preserve"> PAGEREF _Toc453769002 \h </w:instrText>
        </w:r>
        <w:r>
          <w:rPr>
            <w:noProof/>
            <w:webHidden/>
          </w:rPr>
        </w:r>
        <w:r>
          <w:rPr>
            <w:noProof/>
            <w:webHidden/>
          </w:rPr>
          <w:fldChar w:fldCharType="separate"/>
        </w:r>
        <w:r w:rsidR="00F55362">
          <w:rPr>
            <w:noProof/>
            <w:webHidden/>
          </w:rPr>
          <w:t>28</w:t>
        </w:r>
        <w:r>
          <w:rPr>
            <w:noProof/>
            <w:webHidden/>
          </w:rPr>
          <w:fldChar w:fldCharType="end"/>
        </w:r>
      </w:hyperlink>
    </w:p>
    <w:p w:rsidR="0009783C" w:rsidRDefault="00016AC7">
      <w:pPr>
        <w:pStyle w:val="TOC1"/>
        <w:rPr>
          <w:rFonts w:asciiTheme="minorHAnsi" w:eastAsiaTheme="minorEastAsia" w:hAnsiTheme="minorHAnsi"/>
          <w:b w:val="0"/>
          <w:noProof/>
          <w:color w:val="auto"/>
          <w:sz w:val="22"/>
          <w:lang w:eastAsia="en-AU"/>
        </w:rPr>
      </w:pPr>
      <w:hyperlink w:anchor="_Toc453769003" w:history="1">
        <w:r w:rsidR="0009783C" w:rsidRPr="002E359E">
          <w:rPr>
            <w:rStyle w:val="Hyperlink"/>
            <w:noProof/>
          </w:rPr>
          <w:t>Appendix A – Glossary</w:t>
        </w:r>
        <w:r w:rsidR="0009783C">
          <w:rPr>
            <w:noProof/>
            <w:webHidden/>
          </w:rPr>
          <w:tab/>
        </w:r>
        <w:r>
          <w:rPr>
            <w:noProof/>
            <w:webHidden/>
          </w:rPr>
          <w:fldChar w:fldCharType="begin"/>
        </w:r>
        <w:r w:rsidR="0009783C">
          <w:rPr>
            <w:noProof/>
            <w:webHidden/>
          </w:rPr>
          <w:instrText xml:space="preserve"> PAGEREF _Toc453769003 \h </w:instrText>
        </w:r>
        <w:r>
          <w:rPr>
            <w:noProof/>
            <w:webHidden/>
          </w:rPr>
        </w:r>
        <w:r>
          <w:rPr>
            <w:noProof/>
            <w:webHidden/>
          </w:rPr>
          <w:fldChar w:fldCharType="separate"/>
        </w:r>
        <w:r w:rsidR="00F55362">
          <w:rPr>
            <w:noProof/>
            <w:webHidden/>
          </w:rPr>
          <w:t>29</w:t>
        </w:r>
        <w:r>
          <w:rPr>
            <w:noProof/>
            <w:webHidden/>
          </w:rPr>
          <w:fldChar w:fldCharType="end"/>
        </w:r>
      </w:hyperlink>
    </w:p>
    <w:p w:rsidR="0009783C" w:rsidRDefault="00016AC7">
      <w:pPr>
        <w:pStyle w:val="TOC1"/>
        <w:rPr>
          <w:rFonts w:asciiTheme="minorHAnsi" w:eastAsiaTheme="minorEastAsia" w:hAnsiTheme="minorHAnsi"/>
          <w:b w:val="0"/>
          <w:noProof/>
          <w:color w:val="auto"/>
          <w:sz w:val="22"/>
          <w:lang w:eastAsia="en-AU"/>
        </w:rPr>
      </w:pPr>
      <w:hyperlink w:anchor="_Toc453769004" w:history="1">
        <w:r w:rsidR="0009783C" w:rsidRPr="002E359E">
          <w:rPr>
            <w:rStyle w:val="Hyperlink"/>
            <w:noProof/>
          </w:rPr>
          <w:t>Appendix B – Useful references</w:t>
        </w:r>
        <w:r w:rsidR="0009783C">
          <w:rPr>
            <w:noProof/>
            <w:webHidden/>
          </w:rPr>
          <w:tab/>
        </w:r>
        <w:r>
          <w:rPr>
            <w:noProof/>
            <w:webHidden/>
          </w:rPr>
          <w:fldChar w:fldCharType="begin"/>
        </w:r>
        <w:r w:rsidR="0009783C">
          <w:rPr>
            <w:noProof/>
            <w:webHidden/>
          </w:rPr>
          <w:instrText xml:space="preserve"> PAGEREF _Toc453769004 \h </w:instrText>
        </w:r>
        <w:r>
          <w:rPr>
            <w:noProof/>
            <w:webHidden/>
          </w:rPr>
        </w:r>
        <w:r>
          <w:rPr>
            <w:noProof/>
            <w:webHidden/>
          </w:rPr>
          <w:fldChar w:fldCharType="separate"/>
        </w:r>
        <w:r w:rsidR="00F55362">
          <w:rPr>
            <w:noProof/>
            <w:webHidden/>
          </w:rPr>
          <w:t>31</w:t>
        </w:r>
        <w:r>
          <w:rPr>
            <w:noProof/>
            <w:webHidden/>
          </w:rPr>
          <w:fldChar w:fldCharType="end"/>
        </w:r>
      </w:hyperlink>
    </w:p>
    <w:p w:rsidR="0009783C" w:rsidRDefault="00016AC7">
      <w:pPr>
        <w:pStyle w:val="TOC1"/>
        <w:rPr>
          <w:rFonts w:asciiTheme="minorHAnsi" w:eastAsiaTheme="minorEastAsia" w:hAnsiTheme="minorHAnsi"/>
          <w:b w:val="0"/>
          <w:noProof/>
          <w:color w:val="auto"/>
          <w:sz w:val="22"/>
          <w:lang w:eastAsia="en-AU"/>
        </w:rPr>
      </w:pPr>
      <w:hyperlink w:anchor="_Toc453769005" w:history="1">
        <w:r w:rsidR="0009783C" w:rsidRPr="002E359E">
          <w:rPr>
            <w:rStyle w:val="Hyperlink"/>
            <w:noProof/>
          </w:rPr>
          <w:t>Appendix C – Key contact details</w:t>
        </w:r>
        <w:r w:rsidR="0009783C">
          <w:rPr>
            <w:noProof/>
            <w:webHidden/>
          </w:rPr>
          <w:tab/>
        </w:r>
        <w:r>
          <w:rPr>
            <w:noProof/>
            <w:webHidden/>
          </w:rPr>
          <w:fldChar w:fldCharType="begin"/>
        </w:r>
        <w:r w:rsidR="0009783C">
          <w:rPr>
            <w:noProof/>
            <w:webHidden/>
          </w:rPr>
          <w:instrText xml:space="preserve"> PAGEREF _Toc453769005 \h </w:instrText>
        </w:r>
        <w:r>
          <w:rPr>
            <w:noProof/>
            <w:webHidden/>
          </w:rPr>
        </w:r>
        <w:r>
          <w:rPr>
            <w:noProof/>
            <w:webHidden/>
          </w:rPr>
          <w:fldChar w:fldCharType="separate"/>
        </w:r>
        <w:r w:rsidR="00F55362">
          <w:rPr>
            <w:noProof/>
            <w:webHidden/>
          </w:rPr>
          <w:t>32</w:t>
        </w:r>
        <w:r>
          <w:rPr>
            <w:noProof/>
            <w:webHidden/>
          </w:rPr>
          <w:fldChar w:fldCharType="end"/>
        </w:r>
      </w:hyperlink>
    </w:p>
    <w:p w:rsidR="0009783C" w:rsidRDefault="00016AC7">
      <w:pPr>
        <w:pStyle w:val="TOC1"/>
        <w:rPr>
          <w:rFonts w:asciiTheme="minorHAnsi" w:eastAsiaTheme="minorEastAsia" w:hAnsiTheme="minorHAnsi"/>
          <w:b w:val="0"/>
          <w:noProof/>
          <w:color w:val="auto"/>
          <w:sz w:val="22"/>
          <w:lang w:eastAsia="en-AU"/>
        </w:rPr>
      </w:pPr>
      <w:hyperlink w:anchor="_Toc453769006" w:history="1">
        <w:r w:rsidR="0009783C" w:rsidRPr="002E359E">
          <w:rPr>
            <w:rStyle w:val="Hyperlink"/>
            <w:noProof/>
          </w:rPr>
          <w:t>Appendix D – RFP Evaluation Criteria</w:t>
        </w:r>
        <w:r w:rsidR="0009783C">
          <w:rPr>
            <w:noProof/>
            <w:webHidden/>
          </w:rPr>
          <w:tab/>
        </w:r>
        <w:r>
          <w:rPr>
            <w:noProof/>
            <w:webHidden/>
          </w:rPr>
          <w:fldChar w:fldCharType="begin"/>
        </w:r>
        <w:r w:rsidR="0009783C">
          <w:rPr>
            <w:noProof/>
            <w:webHidden/>
          </w:rPr>
          <w:instrText xml:space="preserve"> PAGEREF _Toc453769006 \h </w:instrText>
        </w:r>
        <w:r>
          <w:rPr>
            <w:noProof/>
            <w:webHidden/>
          </w:rPr>
        </w:r>
        <w:r>
          <w:rPr>
            <w:noProof/>
            <w:webHidden/>
          </w:rPr>
          <w:fldChar w:fldCharType="separate"/>
        </w:r>
        <w:r w:rsidR="00F55362">
          <w:rPr>
            <w:noProof/>
            <w:webHidden/>
          </w:rPr>
          <w:t>33</w:t>
        </w:r>
        <w:r>
          <w:rPr>
            <w:noProof/>
            <w:webHidden/>
          </w:rPr>
          <w:fldChar w:fldCharType="end"/>
        </w:r>
      </w:hyperlink>
    </w:p>
    <w:p w:rsidR="00C52C46" w:rsidRDefault="00016AC7" w:rsidP="00C52C46">
      <w:r>
        <w:fldChar w:fldCharType="end"/>
      </w:r>
      <w:bookmarkStart w:id="1" w:name="_Toc401327192"/>
      <w:r w:rsidR="00BA7F6E" w:rsidRPr="00BA7F6E">
        <w:rPr>
          <w:noProof/>
          <w:lang w:eastAsia="en-AU"/>
        </w:rPr>
        <w:t xml:space="preserve"> </w:t>
      </w:r>
    </w:p>
    <w:p w:rsidR="0001724D" w:rsidRDefault="0001724D">
      <w:r>
        <w:br w:type="page"/>
      </w:r>
    </w:p>
    <w:p w:rsidR="00C33995" w:rsidRDefault="00F55362" w:rsidP="00C33995">
      <w:r>
        <w:rPr>
          <w:noProof/>
          <w:lang w:eastAsia="en-AU"/>
        </w:rPr>
        <w:lastRenderedPageBreak/>
        <w:drawing>
          <wp:anchor distT="0" distB="0" distL="114300" distR="114300" simplePos="0" relativeHeight="251686912" behindDoc="0" locked="0" layoutInCell="1" allowOverlap="1">
            <wp:simplePos x="0" y="0"/>
            <wp:positionH relativeFrom="column">
              <wp:posOffset>-1153007</wp:posOffset>
            </wp:positionH>
            <wp:positionV relativeFrom="paragraph">
              <wp:posOffset>-120339</wp:posOffset>
            </wp:positionV>
            <wp:extent cx="7585548" cy="4313960"/>
            <wp:effectExtent l="190500" t="152400" r="167802" b="124690"/>
            <wp:wrapNone/>
            <wp:docPr id="23" name="Picture 1" descr="Aerial view of cou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loyd esau\Downloads\25 Supporting Image - University Avenue Aerial View.jpg"/>
                    <pic:cNvPicPr>
                      <a:picLocks noChangeAspect="1" noChangeArrowheads="1"/>
                    </pic:cNvPicPr>
                  </pic:nvPicPr>
                  <pic:blipFill>
                    <a:blip r:embed="rId21" cstate="print"/>
                    <a:srcRect/>
                    <a:stretch>
                      <a:fillRect/>
                    </a:stretch>
                  </pic:blipFill>
                  <pic:spPr bwMode="auto">
                    <a:xfrm>
                      <a:off x="0" y="0"/>
                      <a:ext cx="7585548" cy="4313960"/>
                    </a:xfrm>
                    <a:prstGeom prst="rect">
                      <a:avLst/>
                    </a:prstGeom>
                    <a:ln>
                      <a:noFill/>
                    </a:ln>
                    <a:effectLst>
                      <a:outerShdw blurRad="190500" algn="tl" rotWithShape="0">
                        <a:srgbClr val="000000">
                          <a:alpha val="70000"/>
                        </a:srgbClr>
                      </a:outerShdw>
                    </a:effectLst>
                  </pic:spPr>
                </pic:pic>
              </a:graphicData>
            </a:graphic>
          </wp:anchor>
        </w:drawing>
      </w:r>
    </w:p>
    <w:p w:rsidR="00BA7F6E" w:rsidRDefault="00BA7697" w:rsidP="00C33995">
      <w:r>
        <w:rPr>
          <w:noProof/>
          <w:lang w:eastAsia="en-AU"/>
        </w:rPr>
        <w:drawing>
          <wp:anchor distT="0" distB="0" distL="114300" distR="114300" simplePos="0" relativeHeight="251650045" behindDoc="0" locked="0" layoutInCell="1" allowOverlap="1">
            <wp:simplePos x="0" y="0"/>
            <wp:positionH relativeFrom="column">
              <wp:posOffset>-2716890</wp:posOffset>
            </wp:positionH>
            <wp:positionV relativeFrom="paragraph">
              <wp:posOffset>243721</wp:posOffset>
            </wp:positionV>
            <wp:extent cx="10696755" cy="7583613"/>
            <wp:effectExtent l="0" t="1562100" r="0" b="1541337"/>
            <wp:wrapNone/>
            <wp:docPr id="21" name="Picture 7" descr="Decorative background"/>
            <wp:cNvGraphicFramePr/>
            <a:graphic xmlns:a="http://schemas.openxmlformats.org/drawingml/2006/main">
              <a:graphicData uri="http://schemas.openxmlformats.org/drawingml/2006/picture">
                <pic:pic xmlns:pic="http://schemas.openxmlformats.org/drawingml/2006/picture">
                  <pic:nvPicPr>
                    <pic:cNvPr id="7" name="Picture 6" descr="CBR-Branding_1.png"/>
                    <pic:cNvPicPr>
                      <a:picLocks noChangeAspect="1"/>
                    </pic:cNvPicPr>
                  </pic:nvPicPr>
                  <pic:blipFill>
                    <a:blip r:embed="rId11" cstate="print"/>
                    <a:srcRect l="40061" b="6615"/>
                    <a:stretch>
                      <a:fillRect/>
                    </a:stretch>
                  </pic:blipFill>
                  <pic:spPr>
                    <a:xfrm rot="5400000" flipV="1">
                      <a:off x="0" y="0"/>
                      <a:ext cx="10696755" cy="7583613"/>
                    </a:xfrm>
                    <a:prstGeom prst="rect">
                      <a:avLst/>
                    </a:prstGeom>
                  </pic:spPr>
                </pic:pic>
              </a:graphicData>
            </a:graphic>
          </wp:anchor>
        </w:drawing>
      </w:r>
    </w:p>
    <w:p w:rsidR="00BA7F6E" w:rsidRDefault="00BA7F6E" w:rsidP="00C33995"/>
    <w:p w:rsidR="00BA7F6E" w:rsidRDefault="00BA7F6E" w:rsidP="00C33995"/>
    <w:p w:rsidR="00BA7F6E" w:rsidRDefault="00BA7F6E" w:rsidP="00C33995"/>
    <w:p w:rsidR="00BA7F6E" w:rsidRDefault="00BA7F6E" w:rsidP="00C33995"/>
    <w:p w:rsidR="00E878DC" w:rsidRPr="00C33995" w:rsidRDefault="00016AC7" w:rsidP="00C33995">
      <w:r>
        <w:rPr>
          <w:noProof/>
          <w:lang w:eastAsia="en-AU"/>
        </w:rPr>
        <w:pict>
          <v:shapetype id="_x0000_t202" coordsize="21600,21600" o:spt="202" path="m,l,21600r21600,l21600,xe">
            <v:stroke joinstyle="miter"/>
            <v:path gradientshapeok="t" o:connecttype="rect"/>
          </v:shapetype>
          <v:shape id="_x0000_s1037" type="#_x0000_t202" alt="Copyright text&#10;" style="position:absolute;margin-left:-62.15pt;margin-top:383.85pt;width:236.05pt;height:203.55pt;z-index:251687936;mso-position-vertical:absolute" filled="f" stroked="f">
            <v:textbox style="mso-next-textbox:#_x0000_s1037">
              <w:txbxContent>
                <w:p w:rsidR="00E569D9" w:rsidRPr="0009783C" w:rsidRDefault="00E569D9" w:rsidP="00D10F59">
                  <w:pPr>
                    <w:rPr>
                      <w:sz w:val="20"/>
                      <w:szCs w:val="20"/>
                    </w:rPr>
                  </w:pPr>
                  <w:r w:rsidRPr="0009783C">
                    <w:rPr>
                      <w:sz w:val="20"/>
                      <w:szCs w:val="20"/>
                    </w:rPr>
                    <w:t>© Copyright Government of the Australian Capital Territory. This publication is copyright. No part may be reproduced by any process except in accordance with the provisions of the Copyright Act 1968.</w:t>
                  </w:r>
                </w:p>
                <w:p w:rsidR="00E569D9" w:rsidRPr="0009783C" w:rsidRDefault="00E569D9" w:rsidP="00D10F59">
                  <w:pPr>
                    <w:rPr>
                      <w:sz w:val="20"/>
                      <w:szCs w:val="20"/>
                    </w:rPr>
                  </w:pPr>
                  <w:r w:rsidRPr="0009783C">
                    <w:rPr>
                      <w:sz w:val="20"/>
                      <w:szCs w:val="20"/>
                    </w:rPr>
                    <w:t>This document is to be attributed as the ACT Law Courts Contract Summary.</w:t>
                  </w:r>
                </w:p>
                <w:p w:rsidR="00E569D9" w:rsidRPr="0009783C" w:rsidRDefault="00E569D9" w:rsidP="00D10F59">
                  <w:pPr>
                    <w:rPr>
                      <w:sz w:val="20"/>
                      <w:szCs w:val="20"/>
                    </w:rPr>
                  </w:pPr>
                  <w:r>
                    <w:rPr>
                      <w:sz w:val="20"/>
                      <w:szCs w:val="20"/>
                    </w:rPr>
                    <w:t xml:space="preserve">Edition 1 - </w:t>
                  </w:r>
                  <w:r w:rsidRPr="0009783C">
                    <w:rPr>
                      <w:sz w:val="20"/>
                      <w:szCs w:val="20"/>
                    </w:rPr>
                    <w:t>June 2016</w:t>
                  </w:r>
                </w:p>
              </w:txbxContent>
            </v:textbox>
          </v:shape>
        </w:pict>
      </w:r>
    </w:p>
    <w:bookmarkEnd w:id="1"/>
    <w:p w:rsidR="00922126" w:rsidRDefault="00922126" w:rsidP="00922126">
      <w:pPr>
        <w:sectPr w:rsidR="00922126" w:rsidSect="00922126">
          <w:headerReference w:type="even" r:id="rId22"/>
          <w:headerReference w:type="default" r:id="rId23"/>
          <w:type w:val="oddPage"/>
          <w:pgSz w:w="11906" w:h="16838" w:code="9"/>
          <w:pgMar w:top="1701" w:right="1418" w:bottom="1701" w:left="1814" w:header="680" w:footer="567" w:gutter="0"/>
          <w:pgNumType w:fmt="lowerRoman"/>
          <w:cols w:space="708"/>
          <w:docGrid w:linePitch="360"/>
        </w:sectPr>
      </w:pPr>
    </w:p>
    <w:p w:rsidR="00454882" w:rsidRDefault="00454882" w:rsidP="00454882">
      <w:pPr>
        <w:pStyle w:val="Heading1"/>
      </w:pPr>
      <w:bookmarkStart w:id="2" w:name="_Toc409616850"/>
      <w:bookmarkStart w:id="3" w:name="_Toc409617067"/>
      <w:bookmarkStart w:id="4" w:name="_Toc409619378"/>
      <w:bookmarkStart w:id="5" w:name="_Toc410146125"/>
      <w:bookmarkStart w:id="6" w:name="_Toc410221187"/>
      <w:bookmarkStart w:id="7" w:name="_Toc410292878"/>
      <w:bookmarkStart w:id="8" w:name="_Toc410308293"/>
      <w:bookmarkStart w:id="9" w:name="_Toc410308443"/>
      <w:bookmarkStart w:id="10" w:name="_Toc410308916"/>
      <w:bookmarkStart w:id="11" w:name="_Toc410373392"/>
      <w:bookmarkStart w:id="12" w:name="_Toc410374057"/>
      <w:bookmarkStart w:id="13" w:name="_Toc445867797"/>
      <w:bookmarkStart w:id="14" w:name="_Toc453768985"/>
      <w:bookmarkStart w:id="15" w:name="_Ref404839239"/>
      <w:bookmarkStart w:id="16" w:name="_Toc398732946"/>
      <w:bookmarkEnd w:id="2"/>
      <w:bookmarkEnd w:id="3"/>
      <w:bookmarkEnd w:id="4"/>
      <w:bookmarkEnd w:id="5"/>
      <w:bookmarkEnd w:id="6"/>
      <w:bookmarkEnd w:id="7"/>
      <w:bookmarkEnd w:id="8"/>
      <w:bookmarkEnd w:id="9"/>
      <w:bookmarkEnd w:id="10"/>
      <w:bookmarkEnd w:id="11"/>
      <w:bookmarkEnd w:id="12"/>
      <w:r>
        <w:lastRenderedPageBreak/>
        <w:t>Project Overview</w:t>
      </w:r>
      <w:bookmarkEnd w:id="13"/>
      <w:bookmarkEnd w:id="14"/>
    </w:p>
    <w:p w:rsidR="00454882" w:rsidRDefault="00454882" w:rsidP="00454882">
      <w:pPr>
        <w:pStyle w:val="Heading2"/>
      </w:pPr>
      <w:bookmarkStart w:id="17" w:name="_Toc445867798"/>
      <w:bookmarkStart w:id="18" w:name="_Toc453768986"/>
      <w:r>
        <w:t>The ACT Law Courts Project</w:t>
      </w:r>
      <w:bookmarkEnd w:id="17"/>
      <w:bookmarkEnd w:id="18"/>
    </w:p>
    <w:p w:rsidR="001F4613" w:rsidRDefault="001F4613" w:rsidP="001F4613">
      <w:pPr>
        <w:pStyle w:val="Heading3"/>
      </w:pPr>
      <w:r>
        <w:t>Overview</w:t>
      </w:r>
    </w:p>
    <w:p w:rsidR="003B2AF0" w:rsidRDefault="00703C71" w:rsidP="003B2AF0">
      <w:r>
        <w:t>On 14 December 201</w:t>
      </w:r>
      <w:r w:rsidR="00980285">
        <w:t>5</w:t>
      </w:r>
      <w:r>
        <w:t xml:space="preserve"> t</w:t>
      </w:r>
      <w:r w:rsidR="001F4613">
        <w:t>he government of the Australian Capital Territory (Territo</w:t>
      </w:r>
      <w:r w:rsidR="003B2AF0">
        <w:t xml:space="preserve">ry) entered into an </w:t>
      </w:r>
      <w:r w:rsidR="001F4613">
        <w:t xml:space="preserve">Agreement with </w:t>
      </w:r>
      <w:proofErr w:type="spellStart"/>
      <w:r w:rsidR="003B2AF0">
        <w:t>Juris</w:t>
      </w:r>
      <w:proofErr w:type="spellEnd"/>
      <w:r w:rsidR="003B2AF0">
        <w:t xml:space="preserve"> Partnership for the design, construction and financing </w:t>
      </w:r>
      <w:r>
        <w:t xml:space="preserve">of </w:t>
      </w:r>
      <w:r w:rsidR="003B2AF0">
        <w:t xml:space="preserve">a major redevelopment to the existing courts precinct including the provision of a range of facilities management </w:t>
      </w:r>
      <w:r w:rsidR="005E4257">
        <w:t xml:space="preserve">and support </w:t>
      </w:r>
      <w:r w:rsidR="003B2AF0">
        <w:t>se</w:t>
      </w:r>
      <w:r w:rsidR="00F03899">
        <w:t>rvices for the combined Courts Facility</w:t>
      </w:r>
      <w:r w:rsidR="003B2AF0">
        <w:t xml:space="preserve"> over a 25-year period</w:t>
      </w:r>
      <w:r w:rsidR="00F03899">
        <w:t>.</w:t>
      </w:r>
    </w:p>
    <w:p w:rsidR="00F03899" w:rsidRDefault="00F03899" w:rsidP="001F4613">
      <w:r>
        <w:t>The Project represents an investment of $1</w:t>
      </w:r>
      <w:r w:rsidR="006517BC">
        <w:t>6</w:t>
      </w:r>
      <w:r>
        <w:t>0 million (capital expenditure) in the courts precinct and will pro</w:t>
      </w:r>
      <w:r w:rsidR="005E4257">
        <w:t>vide the Territory with a contemporary and fit-for-purpose facility</w:t>
      </w:r>
      <w:r w:rsidR="005E4257" w:rsidRPr="005E4257">
        <w:t xml:space="preserve"> </w:t>
      </w:r>
      <w:r w:rsidR="005E4257">
        <w:t xml:space="preserve">that is </w:t>
      </w:r>
      <w:r w:rsidR="005E4257" w:rsidRPr="005E4257">
        <w:t xml:space="preserve">capable of meeting </w:t>
      </w:r>
      <w:r w:rsidR="005E4257">
        <w:t xml:space="preserve">the </w:t>
      </w:r>
      <w:r w:rsidR="005E4257" w:rsidRPr="005E4257">
        <w:t xml:space="preserve">needs </w:t>
      </w:r>
      <w:r w:rsidR="005E4257">
        <w:t xml:space="preserve">of the judicial community </w:t>
      </w:r>
      <w:r w:rsidR="005E4257" w:rsidRPr="005E4257">
        <w:t>for the foreseeable future.</w:t>
      </w:r>
      <w:r w:rsidR="005E4257">
        <w:t xml:space="preserve">  In addition, enhanced justice support, custodial and remote witness facilities will ensure that judicial processes are able to comply with changing legislation and maintain the safety and dignity of all participants. </w:t>
      </w:r>
    </w:p>
    <w:p w:rsidR="001F4613" w:rsidRDefault="001F4613" w:rsidP="001F4613">
      <w:r>
        <w:t xml:space="preserve">The </w:t>
      </w:r>
      <w:r w:rsidR="005E4257">
        <w:t>Project</w:t>
      </w:r>
      <w:r>
        <w:t xml:space="preserve"> is the first social infrastructure </w:t>
      </w:r>
      <w:r w:rsidR="008B0AFC">
        <w:t>P</w:t>
      </w:r>
      <w:r w:rsidR="005E1395">
        <w:t xml:space="preserve">ublic </w:t>
      </w:r>
      <w:r w:rsidR="008B0AFC">
        <w:t>P</w:t>
      </w:r>
      <w:r w:rsidR="005E1395">
        <w:t xml:space="preserve">rivate </w:t>
      </w:r>
      <w:r w:rsidR="008B0AFC">
        <w:t>P</w:t>
      </w:r>
      <w:r w:rsidR="005E1395">
        <w:t>artnership (</w:t>
      </w:r>
      <w:r>
        <w:t>PPP</w:t>
      </w:r>
      <w:r w:rsidR="005E1395">
        <w:t>)</w:t>
      </w:r>
      <w:r>
        <w:t xml:space="preserve"> project to be undertaken </w:t>
      </w:r>
      <w:r w:rsidR="00CB40CD">
        <w:t xml:space="preserve">by the </w:t>
      </w:r>
      <w:r w:rsidR="005E4257">
        <w:t>Territory. The</w:t>
      </w:r>
      <w:r>
        <w:t xml:space="preserve"> </w:t>
      </w:r>
      <w:r w:rsidR="005E4257">
        <w:t xml:space="preserve">PPP </w:t>
      </w:r>
      <w:r>
        <w:t xml:space="preserve">procurement approach </w:t>
      </w:r>
      <w:r w:rsidR="005E4257">
        <w:t xml:space="preserve">was selected </w:t>
      </w:r>
      <w:r>
        <w:t xml:space="preserve">to ensure that </w:t>
      </w:r>
      <w:r w:rsidR="005E4257">
        <w:t xml:space="preserve">competitively driven </w:t>
      </w:r>
      <w:r>
        <w:t xml:space="preserve">innovation </w:t>
      </w:r>
      <w:r w:rsidR="005E4257">
        <w:t xml:space="preserve">in design, delivery </w:t>
      </w:r>
      <w:r>
        <w:t xml:space="preserve">and </w:t>
      </w:r>
      <w:r w:rsidR="005E4257">
        <w:t xml:space="preserve">whole-of-life considerations were captured in delivering an optimum outcome for this complex </w:t>
      </w:r>
      <w:r>
        <w:t>Project.</w:t>
      </w:r>
    </w:p>
    <w:p w:rsidR="000F5481" w:rsidRDefault="000F5481" w:rsidP="001F4613">
      <w:pPr>
        <w:pStyle w:val="Caption"/>
      </w:pPr>
      <w:bookmarkStart w:id="19" w:name="_Ref450119423"/>
      <w:r>
        <w:t xml:space="preserve">Figure </w:t>
      </w:r>
      <w:fldSimple w:instr=" SEQ Figure \* ARABIC ">
        <w:r w:rsidR="00F55362">
          <w:rPr>
            <w:noProof/>
          </w:rPr>
          <w:t>1</w:t>
        </w:r>
      </w:fldSimple>
      <w:bookmarkEnd w:id="19"/>
      <w:r>
        <w:t>: View of New Facility from Vernon Circle</w:t>
      </w:r>
    </w:p>
    <w:p w:rsidR="000F5481" w:rsidRDefault="000F5481" w:rsidP="001F4613">
      <w:r w:rsidRPr="000F5481">
        <w:rPr>
          <w:noProof/>
          <w:lang w:eastAsia="en-AU"/>
        </w:rPr>
        <w:drawing>
          <wp:inline distT="0" distB="0" distL="0" distR="0">
            <wp:extent cx="5507990" cy="3098422"/>
            <wp:effectExtent l="19050" t="0" r="0" b="0"/>
            <wp:docPr id="5" name="Picture 2" descr="View of New Facility from Vernon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P_Vernon_CC.jpg"/>
                    <pic:cNvPicPr/>
                  </pic:nvPicPr>
                  <pic:blipFill>
                    <a:blip r:embed="rId24" cstate="print"/>
                    <a:stretch>
                      <a:fillRect/>
                    </a:stretch>
                  </pic:blipFill>
                  <pic:spPr>
                    <a:xfrm>
                      <a:off x="0" y="0"/>
                      <a:ext cx="5507990" cy="3098422"/>
                    </a:xfrm>
                    <a:prstGeom prst="rect">
                      <a:avLst/>
                    </a:prstGeom>
                  </pic:spPr>
                </pic:pic>
              </a:graphicData>
            </a:graphic>
          </wp:inline>
        </w:drawing>
      </w:r>
    </w:p>
    <w:p w:rsidR="00703C71" w:rsidRDefault="00703C71" w:rsidP="00454882">
      <w:pPr>
        <w:pStyle w:val="Heading3"/>
      </w:pPr>
      <w:r>
        <w:lastRenderedPageBreak/>
        <w:t>The Consortium</w:t>
      </w:r>
    </w:p>
    <w:p w:rsidR="00703C71" w:rsidRDefault="00703C71" w:rsidP="00703C71">
      <w:r>
        <w:t xml:space="preserve">The major members of the </w:t>
      </w:r>
      <w:proofErr w:type="spellStart"/>
      <w:r w:rsidRPr="00703C71">
        <w:t>Juris</w:t>
      </w:r>
      <w:proofErr w:type="spellEnd"/>
      <w:r w:rsidRPr="00703C71">
        <w:t xml:space="preserve"> Partnership consortium </w:t>
      </w:r>
      <w:r>
        <w:t>include</w:t>
      </w:r>
      <w:r w:rsidRPr="00703C71">
        <w:t xml:space="preserve"> Laing O’Rourke Australia Construction Pty Ltd</w:t>
      </w:r>
      <w:r>
        <w:t xml:space="preserve"> (builder and equity investor)</w:t>
      </w:r>
      <w:r w:rsidRPr="00703C71">
        <w:t xml:space="preserve">, Macquarie </w:t>
      </w:r>
      <w:r w:rsidR="005B4AD6">
        <w:t>Corporate Holdings Pty</w:t>
      </w:r>
      <w:r w:rsidRPr="00703C71">
        <w:t xml:space="preserve"> Limited</w:t>
      </w:r>
      <w:r>
        <w:t xml:space="preserve"> (equit</w:t>
      </w:r>
      <w:r w:rsidR="005E1395">
        <w:t>y investor and financial adviser)</w:t>
      </w:r>
      <w:r w:rsidRPr="00703C71">
        <w:t xml:space="preserve"> </w:t>
      </w:r>
      <w:r w:rsidR="005E1395" w:rsidRPr="00703C71">
        <w:t xml:space="preserve">and </w:t>
      </w:r>
      <w:r w:rsidRPr="00703C71">
        <w:t>Programmed Facility Management Pty Ltd</w:t>
      </w:r>
      <w:r w:rsidR="005E1395">
        <w:t xml:space="preserve"> (facilities manager).  These consortium members all have </w:t>
      </w:r>
      <w:r w:rsidRPr="00703C71">
        <w:t xml:space="preserve">national and international experience in delivering </w:t>
      </w:r>
      <w:r w:rsidR="007F567E">
        <w:t>social infrastructure PPPs.</w:t>
      </w:r>
    </w:p>
    <w:p w:rsidR="00454882" w:rsidRDefault="00454882" w:rsidP="00454882">
      <w:pPr>
        <w:pStyle w:val="Heading3"/>
      </w:pPr>
      <w:r>
        <w:t>The new facilities</w:t>
      </w:r>
    </w:p>
    <w:p w:rsidR="00D47287" w:rsidRDefault="00D47287" w:rsidP="00D47287">
      <w:r>
        <w:t xml:space="preserve">The project will create a combined Law Courts facility for the </w:t>
      </w:r>
      <w:r w:rsidR="008B0AFC">
        <w:t>Australian Capital Territory (</w:t>
      </w:r>
      <w:r>
        <w:t>ACT</w:t>
      </w:r>
      <w:r w:rsidR="008B0AFC">
        <w:t>)</w:t>
      </w:r>
      <w:r>
        <w:t xml:space="preserve"> which will maximise operational efficiencies whilst still respecting the separate jurisdictions of the Supreme Co</w:t>
      </w:r>
      <w:r w:rsidR="000F5481">
        <w:t xml:space="preserve">urt and the </w:t>
      </w:r>
      <w:r w:rsidR="002975CE">
        <w:t xml:space="preserve">Magistrates’ </w:t>
      </w:r>
      <w:r w:rsidR="000F5481">
        <w:t>Court.</w:t>
      </w:r>
    </w:p>
    <w:p w:rsidR="00D47287" w:rsidRDefault="00D47287" w:rsidP="00D47287">
      <w:r>
        <w:t>New-build facilities for the Supreme Court will be constructed to replace the out-of-date accommodation currently located in the 50-year old heritage listed building located adjacent to the Magistrates’ Court building.</w:t>
      </w:r>
    </w:p>
    <w:p w:rsidR="00AD3C8D" w:rsidRDefault="00AD3C8D" w:rsidP="00AD3C8D">
      <w:r>
        <w:t xml:space="preserve">The new Supreme Court will be located within a four-storey building to be constructed along Vernon Circle (see </w:t>
      </w:r>
      <w:r w:rsidR="00016AC7">
        <w:fldChar w:fldCharType="begin" w:fldLock="1"/>
      </w:r>
      <w:r>
        <w:instrText xml:space="preserve"> REF _Ref450119423 \h </w:instrText>
      </w:r>
      <w:r w:rsidR="00016AC7">
        <w:fldChar w:fldCharType="separate"/>
      </w:r>
      <w:r w:rsidR="0067732C">
        <w:t xml:space="preserve">Figure </w:t>
      </w:r>
      <w:r w:rsidR="0067732C">
        <w:rPr>
          <w:noProof/>
        </w:rPr>
        <w:t>1</w:t>
      </w:r>
      <w:r w:rsidR="00016AC7">
        <w:fldChar w:fldCharType="end"/>
      </w:r>
      <w:r>
        <w:t>) and will also occupy parts of the existing Supreme Court building following its reconfiguration.</w:t>
      </w:r>
    </w:p>
    <w:p w:rsidR="00AD3C8D" w:rsidRDefault="00AD3C8D" w:rsidP="00AD3C8D">
      <w:r>
        <w:t>A new public entrance and registry area will be built in the open space between the two existing buildings to connect the Supreme Court and Magistrates</w:t>
      </w:r>
      <w:r w:rsidR="002975CE">
        <w:t>’</w:t>
      </w:r>
      <w:r>
        <w:t xml:space="preserve"> Court and provide access to common facilities for members of the public and the legal community</w:t>
      </w:r>
      <w:r w:rsidR="00980285">
        <w:t xml:space="preserve"> (see </w:t>
      </w:r>
      <w:r w:rsidR="00016AC7">
        <w:fldChar w:fldCharType="begin" w:fldLock="1"/>
      </w:r>
      <w:r w:rsidR="002E44DB">
        <w:instrText xml:space="preserve"> REF _Ref451506622 \h </w:instrText>
      </w:r>
      <w:r w:rsidR="00016AC7">
        <w:fldChar w:fldCharType="separate"/>
      </w:r>
      <w:r w:rsidR="0067732C">
        <w:t xml:space="preserve">Figure </w:t>
      </w:r>
      <w:r w:rsidR="0067732C">
        <w:rPr>
          <w:noProof/>
        </w:rPr>
        <w:t>2</w:t>
      </w:r>
      <w:r w:rsidR="00016AC7">
        <w:fldChar w:fldCharType="end"/>
      </w:r>
      <w:r w:rsidR="00980285">
        <w:t>)</w:t>
      </w:r>
      <w:r>
        <w:t>.  The existing Supreme Court building will be fully refurbished to accommodate judicial and other functions and will be fully integrated into the completed facility in a way that respects and retains its unique heritage value.</w:t>
      </w:r>
    </w:p>
    <w:p w:rsidR="00731F34" w:rsidRDefault="00731F34" w:rsidP="00731F34">
      <w:pPr>
        <w:pStyle w:val="Caption"/>
      </w:pPr>
      <w:bookmarkStart w:id="20" w:name="_Ref451506622"/>
      <w:r>
        <w:t xml:space="preserve">Figure </w:t>
      </w:r>
      <w:fldSimple w:instr=" SEQ Figure \* ARABIC ">
        <w:r w:rsidR="00F55362">
          <w:rPr>
            <w:noProof/>
          </w:rPr>
          <w:t>2</w:t>
        </w:r>
      </w:fldSimple>
      <w:bookmarkEnd w:id="20"/>
      <w:r>
        <w:t>: New combined court entrance</w:t>
      </w:r>
    </w:p>
    <w:p w:rsidR="00AD3C8D" w:rsidRDefault="00731F34" w:rsidP="00AD3C8D">
      <w:r>
        <w:rPr>
          <w:noProof/>
          <w:lang w:eastAsia="en-AU"/>
        </w:rPr>
        <w:drawing>
          <wp:inline distT="0" distB="0" distL="0" distR="0">
            <wp:extent cx="5507990" cy="2776220"/>
            <wp:effectExtent l="19050" t="0" r="0" b="0"/>
            <wp:docPr id="6" name="Picture 5" descr="New combined court ent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 Supporting Image - ENTRY 01 - PS_HIRES.jpg"/>
                    <pic:cNvPicPr/>
                  </pic:nvPicPr>
                  <pic:blipFill>
                    <a:blip r:embed="rId25" cstate="print"/>
                    <a:stretch>
                      <a:fillRect/>
                    </a:stretch>
                  </pic:blipFill>
                  <pic:spPr>
                    <a:xfrm>
                      <a:off x="0" y="0"/>
                      <a:ext cx="5507990" cy="2776220"/>
                    </a:xfrm>
                    <a:prstGeom prst="rect">
                      <a:avLst/>
                    </a:prstGeom>
                  </pic:spPr>
                </pic:pic>
              </a:graphicData>
            </a:graphic>
          </wp:inline>
        </w:drawing>
      </w:r>
    </w:p>
    <w:p w:rsidR="00AD3C8D" w:rsidRDefault="00AD3C8D" w:rsidP="00AD3C8D">
      <w:r>
        <w:lastRenderedPageBreak/>
        <w:t>The new Supreme Court will include eight courtrooms – five of which will be jury courtrooms – and has been designed to accommodate a total of ten courtrooms (including eight j</w:t>
      </w:r>
      <w:r w:rsidR="008E21F5">
        <w:t>ury courtrooms) in the future.</w:t>
      </w:r>
    </w:p>
    <w:p w:rsidR="00AD3C8D" w:rsidRDefault="00AD3C8D" w:rsidP="00AD3C8D">
      <w:r>
        <w:t xml:space="preserve">The </w:t>
      </w:r>
      <w:r w:rsidR="002975CE">
        <w:t xml:space="preserve">Magistrates’ </w:t>
      </w:r>
      <w:r>
        <w:t xml:space="preserve">Court will </w:t>
      </w:r>
      <w:r w:rsidR="00731F34">
        <w:t xml:space="preserve">continue to </w:t>
      </w:r>
      <w:r>
        <w:t xml:space="preserve">operate with eleven courtrooms, all of which will be upgraded to provide modern audio-visual and remote witness capabilities and improved acoustic performance.  In addition, the </w:t>
      </w:r>
      <w:r w:rsidR="002975CE">
        <w:t xml:space="preserve">Magistrates’ </w:t>
      </w:r>
      <w:r>
        <w:t xml:space="preserve">Court will </w:t>
      </w:r>
      <w:r w:rsidR="00731F34">
        <w:t>gain</w:t>
      </w:r>
      <w:r>
        <w:t xml:space="preserve"> one new hearing room.</w:t>
      </w:r>
    </w:p>
    <w:p w:rsidR="00AD3C8D" w:rsidRDefault="00AD3C8D" w:rsidP="00AD3C8D">
      <w:r>
        <w:t>The ACT Law Courts project will also deliver a new and expanded custodial facility, dedicated vulnerable witness suite, new mediation suite, dedicated parole board hearing room, a combined and centralised registry area, new jury facilities and accommodation for a range of judicial and community support functions.</w:t>
      </w:r>
    </w:p>
    <w:p w:rsidR="00454882" w:rsidRDefault="00454882" w:rsidP="00454882">
      <w:pPr>
        <w:pStyle w:val="Heading3"/>
      </w:pPr>
      <w:r>
        <w:t>The Project site</w:t>
      </w:r>
    </w:p>
    <w:p w:rsidR="001F4613" w:rsidRDefault="00B2553F" w:rsidP="001F4613">
      <w:r>
        <w:t>The Project will be delivered on the site on which the Supreme Court Building and the Magistrates’ Court Building are currently located</w:t>
      </w:r>
      <w:r w:rsidR="008F2D54">
        <w:t xml:space="preserve"> as shown in </w:t>
      </w:r>
      <w:r w:rsidR="00016AC7">
        <w:fldChar w:fldCharType="begin" w:fldLock="1"/>
      </w:r>
      <w:r w:rsidR="008F2D54">
        <w:instrText xml:space="preserve"> REF _Ref450894928 \h </w:instrText>
      </w:r>
      <w:r w:rsidR="00016AC7">
        <w:fldChar w:fldCharType="separate"/>
      </w:r>
      <w:r w:rsidR="0067732C">
        <w:t xml:space="preserve">Figure </w:t>
      </w:r>
      <w:r w:rsidR="0067732C">
        <w:rPr>
          <w:noProof/>
        </w:rPr>
        <w:t>3</w:t>
      </w:r>
      <w:r w:rsidR="00016AC7">
        <w:fldChar w:fldCharType="end"/>
      </w:r>
      <w:r>
        <w:t>.</w:t>
      </w:r>
      <w:r w:rsidR="00EB64EE">
        <w:t xml:space="preserve"> A key feature of the site is the precinct </w:t>
      </w:r>
      <w:r w:rsidR="00E75569">
        <w:t>around Knowles Place containing the existing Supreme Court, Reserve Bank and the City Police Station.  The centre-line of this precinct, that bisects the Supreme Court building, is aligned with University Avenue and is one of the prominent axes in the original Griffin</w:t>
      </w:r>
      <w:r w:rsidR="00E75569" w:rsidRPr="00E75569">
        <w:t xml:space="preserve"> </w:t>
      </w:r>
      <w:r w:rsidR="00980285">
        <w:t>P</w:t>
      </w:r>
      <w:r w:rsidR="00E75569" w:rsidRPr="00E75569">
        <w:t>lan</w:t>
      </w:r>
      <w:r w:rsidR="00E75569">
        <w:t xml:space="preserve"> for Canberra.</w:t>
      </w:r>
    </w:p>
    <w:p w:rsidR="009B4A85" w:rsidRDefault="009B4A85" w:rsidP="009B4A85">
      <w:pPr>
        <w:pStyle w:val="Caption"/>
      </w:pPr>
      <w:bookmarkStart w:id="21" w:name="_Ref450894928"/>
      <w:r>
        <w:t xml:space="preserve">Figure </w:t>
      </w:r>
      <w:fldSimple w:instr=" SEQ Figure \* ARABIC ">
        <w:r w:rsidR="00F55362">
          <w:rPr>
            <w:noProof/>
          </w:rPr>
          <w:t>3</w:t>
        </w:r>
      </w:fldSimple>
      <w:bookmarkEnd w:id="21"/>
      <w:r>
        <w:t>: Project Site</w:t>
      </w:r>
      <w:r w:rsidR="00731F34">
        <w:t xml:space="preserve"> (existing)</w:t>
      </w:r>
    </w:p>
    <w:p w:rsidR="009B4A85" w:rsidRDefault="00EA4910" w:rsidP="001F4613">
      <w:r>
        <w:rPr>
          <w:noProof/>
          <w:lang w:eastAsia="en-AU"/>
        </w:rPr>
        <w:drawing>
          <wp:inline distT="0" distB="0" distL="0" distR="0">
            <wp:extent cx="5508000" cy="4089328"/>
            <wp:effectExtent l="19050" t="0" r="0" b="0"/>
            <wp:docPr id="1" name="Picture 0" descr="Existing project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516_SiteDiagram.jpg"/>
                    <pic:cNvPicPr/>
                  </pic:nvPicPr>
                  <pic:blipFill>
                    <a:blip r:embed="rId26" cstate="print"/>
                    <a:srcRect l="2723" r="2512"/>
                    <a:stretch>
                      <a:fillRect/>
                    </a:stretch>
                  </pic:blipFill>
                  <pic:spPr>
                    <a:xfrm>
                      <a:off x="0" y="0"/>
                      <a:ext cx="5508000" cy="4089328"/>
                    </a:xfrm>
                    <a:prstGeom prst="rect">
                      <a:avLst/>
                    </a:prstGeom>
                  </pic:spPr>
                </pic:pic>
              </a:graphicData>
            </a:graphic>
          </wp:inline>
        </w:drawing>
      </w:r>
    </w:p>
    <w:p w:rsidR="009B4A85" w:rsidRDefault="009B4A85" w:rsidP="0077627F">
      <w:pPr>
        <w:pStyle w:val="space"/>
      </w:pPr>
    </w:p>
    <w:p w:rsidR="008F2D54" w:rsidRDefault="008F2D54" w:rsidP="008F2D54">
      <w:r>
        <w:lastRenderedPageBreak/>
        <w:t xml:space="preserve">City planning and heritage considerations for the redevelopment </w:t>
      </w:r>
      <w:proofErr w:type="spellStart"/>
      <w:r>
        <w:t>are</w:t>
      </w:r>
      <w:proofErr w:type="spellEnd"/>
      <w:r>
        <w:t xml:space="preserve"> of paramount importance and throughout the planning and procurement stages the Territory has, and continues to, consult extensively with the National Capital Authority, the Heritage Council, the Government Architect and other interested parties.</w:t>
      </w:r>
    </w:p>
    <w:p w:rsidR="00215B84" w:rsidRDefault="00215B84" w:rsidP="008F2D54">
      <w:r>
        <w:t>In particular, planning for the redevelopment has placed high levels of importance on the following matters:</w:t>
      </w:r>
    </w:p>
    <w:p w:rsidR="00215B84" w:rsidRDefault="00215B84" w:rsidP="00215B84">
      <w:pPr>
        <w:pStyle w:val="ListBullet"/>
      </w:pPr>
      <w:r>
        <w:t>retention of the internal geometry of the Supreme Court building</w:t>
      </w:r>
    </w:p>
    <w:p w:rsidR="00215B84" w:rsidRDefault="00215B84" w:rsidP="00215B84">
      <w:pPr>
        <w:pStyle w:val="ListBullet"/>
      </w:pPr>
      <w:r>
        <w:t>responding to the University Avenue axis through transparency and building form</w:t>
      </w:r>
    </w:p>
    <w:p w:rsidR="00215B84" w:rsidRDefault="002975CE" w:rsidP="00215B84">
      <w:pPr>
        <w:pStyle w:val="ListBullet"/>
      </w:pPr>
      <w:r>
        <w:t>retaining</w:t>
      </w:r>
      <w:r w:rsidR="00215B84">
        <w:t xml:space="preserve"> the </w:t>
      </w:r>
      <w:r>
        <w:t xml:space="preserve">marble clad </w:t>
      </w:r>
      <w:r w:rsidR="00215B84">
        <w:t>façade and other significant heritage elements of the Supreme Court building</w:t>
      </w:r>
    </w:p>
    <w:p w:rsidR="00215B84" w:rsidRDefault="002975CE" w:rsidP="00215B84">
      <w:pPr>
        <w:pStyle w:val="ListBullet"/>
      </w:pPr>
      <w:proofErr w:type="gramStart"/>
      <w:r>
        <w:t>maintaining</w:t>
      </w:r>
      <w:proofErr w:type="gramEnd"/>
      <w:r>
        <w:t xml:space="preserve"> the visual relationship between the three buildings around Knowles Place.</w:t>
      </w:r>
    </w:p>
    <w:p w:rsidR="002975CE" w:rsidRDefault="008F2D54" w:rsidP="00EB64EE">
      <w:r>
        <w:t>Despite the constrained nature of the site, development and expansion opportunities exist between the two buildings and to the Vernon Circle side of the Supreme Court building.</w:t>
      </w:r>
      <w:r w:rsidR="002975CE">
        <w:t xml:space="preserve">  </w:t>
      </w:r>
    </w:p>
    <w:p w:rsidR="00EB64EE" w:rsidRDefault="00016AC7" w:rsidP="00EB64EE">
      <w:r>
        <w:fldChar w:fldCharType="begin" w:fldLock="1"/>
      </w:r>
      <w:r w:rsidR="002975CE">
        <w:instrText xml:space="preserve"> REF _Ref450899852 \h </w:instrText>
      </w:r>
      <w:r>
        <w:fldChar w:fldCharType="separate"/>
      </w:r>
      <w:r w:rsidR="0067732C">
        <w:t xml:space="preserve">Figure </w:t>
      </w:r>
      <w:r w:rsidR="0067732C">
        <w:rPr>
          <w:noProof/>
        </w:rPr>
        <w:t>4</w:t>
      </w:r>
      <w:r>
        <w:fldChar w:fldCharType="end"/>
      </w:r>
      <w:r w:rsidR="002975CE">
        <w:t xml:space="preserve"> indicates the positioning of the new structures on the site plan to expand and integrate both of the existing court buildings.</w:t>
      </w:r>
    </w:p>
    <w:p w:rsidR="00EB64EE" w:rsidRDefault="00EB64EE" w:rsidP="00EB64EE">
      <w:pPr>
        <w:pStyle w:val="Caption"/>
        <w:numPr>
          <w:ilvl w:val="0"/>
          <w:numId w:val="0"/>
        </w:numPr>
      </w:pPr>
      <w:bookmarkStart w:id="22" w:name="_Ref450899852"/>
      <w:r>
        <w:t xml:space="preserve">Figure </w:t>
      </w:r>
      <w:fldSimple w:instr=" SEQ Figure \* ARABIC ">
        <w:r w:rsidR="00F55362">
          <w:rPr>
            <w:noProof/>
          </w:rPr>
          <w:t>4</w:t>
        </w:r>
      </w:fldSimple>
      <w:bookmarkEnd w:id="22"/>
      <w:r>
        <w:t xml:space="preserve">: Project Site and </w:t>
      </w:r>
      <w:r w:rsidR="008F2D54">
        <w:t>building</w:t>
      </w:r>
      <w:r>
        <w:t xml:space="preserve"> demarcations</w:t>
      </w:r>
    </w:p>
    <w:p w:rsidR="009B4A85" w:rsidRDefault="003F3ED9" w:rsidP="001F4613">
      <w:r>
        <w:rPr>
          <w:noProof/>
          <w:lang w:eastAsia="en-AU"/>
        </w:rPr>
        <w:drawing>
          <wp:inline distT="0" distB="0" distL="0" distR="0">
            <wp:extent cx="5507990" cy="3355222"/>
            <wp:effectExtent l="19050" t="0" r="0" b="0"/>
            <wp:docPr id="10" name="Picture 7" descr="Project Site and building demar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507990" cy="3355222"/>
                    </a:xfrm>
                    <a:prstGeom prst="rect">
                      <a:avLst/>
                    </a:prstGeom>
                    <a:noFill/>
                    <a:ln w="9525">
                      <a:noFill/>
                      <a:miter lim="800000"/>
                      <a:headEnd/>
                      <a:tailEnd/>
                    </a:ln>
                  </pic:spPr>
                </pic:pic>
              </a:graphicData>
            </a:graphic>
          </wp:inline>
        </w:drawing>
      </w:r>
    </w:p>
    <w:p w:rsidR="002975CE" w:rsidRDefault="002975CE" w:rsidP="002975CE">
      <w:pPr>
        <w:pStyle w:val="Heading3"/>
      </w:pPr>
      <w:r>
        <w:t>Integration requirements</w:t>
      </w:r>
    </w:p>
    <w:p w:rsidR="002975CE" w:rsidRDefault="002975CE" w:rsidP="002975CE">
      <w:r>
        <w:t xml:space="preserve">The Project </w:t>
      </w:r>
      <w:r w:rsidR="00315C03">
        <w:t xml:space="preserve">will also deliver full integration between the </w:t>
      </w:r>
      <w:r>
        <w:t>existing Magistrates’ Court building</w:t>
      </w:r>
      <w:r w:rsidR="00315C03">
        <w:t xml:space="preserve">, the new facility to be constructed, and the existing Supreme Court building that will be retained and fully refurbished.  </w:t>
      </w:r>
      <w:r w:rsidR="00626666">
        <w:t xml:space="preserve">For the purposes of delineating certain areas of risk and responsibility, </w:t>
      </w:r>
      <w:r w:rsidR="00626666">
        <w:lastRenderedPageBreak/>
        <w:t xml:space="preserve">the </w:t>
      </w:r>
      <w:r w:rsidR="008B0AFC">
        <w:t xml:space="preserve">Project </w:t>
      </w:r>
      <w:r w:rsidR="00626666">
        <w:t xml:space="preserve">Agreement sets out different terminology for various parts of the Courts Facility.  These designations are indicated in </w:t>
      </w:r>
      <w:r w:rsidR="00016AC7">
        <w:fldChar w:fldCharType="begin" w:fldLock="1"/>
      </w:r>
      <w:r w:rsidR="00626666">
        <w:instrText xml:space="preserve"> REF _Ref450899852 \h </w:instrText>
      </w:r>
      <w:r w:rsidR="00016AC7">
        <w:fldChar w:fldCharType="separate"/>
      </w:r>
      <w:r w:rsidR="0067732C">
        <w:t xml:space="preserve">Figure </w:t>
      </w:r>
      <w:r w:rsidR="0067732C">
        <w:rPr>
          <w:noProof/>
        </w:rPr>
        <w:t>4</w:t>
      </w:r>
      <w:r w:rsidR="00016AC7">
        <w:fldChar w:fldCharType="end"/>
      </w:r>
      <w:r w:rsidR="00626666">
        <w:t xml:space="preserve"> and described below.</w:t>
      </w:r>
    </w:p>
    <w:p w:rsidR="002975CE" w:rsidRDefault="002975CE" w:rsidP="002975CE">
      <w:pPr>
        <w:pStyle w:val="ListBullet"/>
      </w:pPr>
      <w:r>
        <w:t>New Facility – the newly constructed parts of the Courts Facility together with the fully refurbished Supreme Court building.</w:t>
      </w:r>
    </w:p>
    <w:p w:rsidR="002975CE" w:rsidRDefault="002975CE" w:rsidP="002975CE">
      <w:pPr>
        <w:pStyle w:val="ListBullet"/>
      </w:pPr>
      <w:r>
        <w:t xml:space="preserve">Existing Facility – </w:t>
      </w:r>
      <w:r w:rsidR="005831B7">
        <w:t xml:space="preserve">the Magistrate’s Court building, comprising of areas </w:t>
      </w:r>
      <w:r>
        <w:t xml:space="preserve">that remain substantially unchanged following the completion of the </w:t>
      </w:r>
      <w:r w:rsidR="00886727">
        <w:t>D</w:t>
      </w:r>
      <w:r>
        <w:t>&amp;C Phase</w:t>
      </w:r>
      <w:r w:rsidR="005831B7">
        <w:t xml:space="preserve"> and Reconditioned Areas</w:t>
      </w:r>
      <w:r>
        <w:t>.</w:t>
      </w:r>
    </w:p>
    <w:p w:rsidR="002975CE" w:rsidRDefault="002975CE" w:rsidP="002975CE">
      <w:pPr>
        <w:pStyle w:val="ListBullet"/>
      </w:pPr>
      <w:r>
        <w:t>Reconditioned Areas – those parts of the Magistrates’ Court building that will be substantially reconfigured and refurbished to deliver the integrated design solution.</w:t>
      </w:r>
    </w:p>
    <w:p w:rsidR="002975CE" w:rsidRDefault="00811689" w:rsidP="001F4613">
      <w:r>
        <w:t xml:space="preserve">For the Existing Facility, certain risks pertaining to pre-existing building conditions are not transferred to </w:t>
      </w:r>
      <w:proofErr w:type="spellStart"/>
      <w:r w:rsidR="00626666">
        <w:t>Juris</w:t>
      </w:r>
      <w:proofErr w:type="spellEnd"/>
      <w:r w:rsidR="00626666">
        <w:t xml:space="preserve"> Partnership</w:t>
      </w:r>
      <w:r>
        <w:t>.</w:t>
      </w:r>
      <w:r w:rsidR="00626666">
        <w:t xml:space="preserve"> </w:t>
      </w:r>
      <w:r>
        <w:t xml:space="preserve">However, </w:t>
      </w:r>
      <w:r w:rsidR="00626666">
        <w:t xml:space="preserve">the </w:t>
      </w:r>
      <w:r>
        <w:t xml:space="preserve">refurbishment of the </w:t>
      </w:r>
      <w:r w:rsidR="00626666">
        <w:t>Supreme Court building</w:t>
      </w:r>
      <w:r>
        <w:t xml:space="preserve"> is </w:t>
      </w:r>
      <w:r w:rsidR="00B040EE" w:rsidRPr="007B6C2F">
        <w:t xml:space="preserve">treated as if it were a new-build aspect of the Project and </w:t>
      </w:r>
      <w:proofErr w:type="spellStart"/>
      <w:r w:rsidR="00B040EE" w:rsidRPr="007B6C2F">
        <w:t>Juris</w:t>
      </w:r>
      <w:proofErr w:type="spellEnd"/>
      <w:r w:rsidR="00B040EE" w:rsidRPr="007B6C2F">
        <w:t xml:space="preserve"> Partnership takes </w:t>
      </w:r>
      <w:r w:rsidR="007B6C2F">
        <w:t>the</w:t>
      </w:r>
      <w:r w:rsidR="007B6C2F" w:rsidRPr="007B6C2F">
        <w:t xml:space="preserve"> </w:t>
      </w:r>
      <w:r w:rsidR="00B040EE" w:rsidRPr="007B6C2F">
        <w:t>risks</w:t>
      </w:r>
      <w:r>
        <w:t xml:space="preserve"> associated with the existing condition and the building’s structure</w:t>
      </w:r>
      <w:r w:rsidR="00626666">
        <w:t>.</w:t>
      </w:r>
    </w:p>
    <w:p w:rsidR="00626666" w:rsidRDefault="00626666" w:rsidP="001F4613">
      <w:r>
        <w:t>In addition to the works required to connect the New Facility with the Existing Facility, the Project will deliver full integration of building services, courtroom technology systems, communications and security across the whole of the Courts Facility.  The Territory</w:t>
      </w:r>
      <w:r w:rsidR="00886727">
        <w:t>’s existing</w:t>
      </w:r>
      <w:r>
        <w:t xml:space="preserve"> </w:t>
      </w:r>
      <w:r w:rsidR="00CB40CD">
        <w:t>n</w:t>
      </w:r>
      <w:r>
        <w:t>etwork will also be reconfigured to provide a coherent installation across the whole of the site.</w:t>
      </w:r>
    </w:p>
    <w:p w:rsidR="00454882" w:rsidRDefault="00454882" w:rsidP="00454882">
      <w:pPr>
        <w:pStyle w:val="Heading3"/>
      </w:pPr>
      <w:r>
        <w:t>Staging of the works</w:t>
      </w:r>
    </w:p>
    <w:p w:rsidR="001F4613" w:rsidRDefault="00626666" w:rsidP="001F4613">
      <w:r>
        <w:t xml:space="preserve">In order that the Supreme Court can continue to operate during the construction of the new building, the works are broken into two distinct stages.  These stages are indicated in </w:t>
      </w:r>
      <w:r w:rsidR="00016AC7">
        <w:fldChar w:fldCharType="begin" w:fldLock="1"/>
      </w:r>
      <w:r>
        <w:instrText xml:space="preserve"> REF _Ref451154485 \h </w:instrText>
      </w:r>
      <w:r w:rsidR="00016AC7">
        <w:fldChar w:fldCharType="separate"/>
      </w:r>
      <w:r w:rsidR="0067732C">
        <w:t xml:space="preserve">Figure </w:t>
      </w:r>
      <w:r w:rsidR="0067732C">
        <w:rPr>
          <w:noProof/>
        </w:rPr>
        <w:t>5</w:t>
      </w:r>
      <w:r w:rsidR="00016AC7">
        <w:fldChar w:fldCharType="end"/>
      </w:r>
      <w:r>
        <w:t>.</w:t>
      </w:r>
    </w:p>
    <w:p w:rsidR="00626666" w:rsidRDefault="00626666" w:rsidP="001F4613"/>
    <w:p w:rsidR="00626666" w:rsidRDefault="00626666" w:rsidP="00626666">
      <w:pPr>
        <w:pStyle w:val="Caption"/>
      </w:pPr>
      <w:bookmarkStart w:id="23" w:name="_Ref451154485"/>
      <w:r>
        <w:t xml:space="preserve">Figure </w:t>
      </w:r>
      <w:fldSimple w:instr=" SEQ Figure \* ARABIC ">
        <w:r w:rsidR="00F55362">
          <w:rPr>
            <w:noProof/>
          </w:rPr>
          <w:t>5</w:t>
        </w:r>
      </w:fldSimple>
      <w:bookmarkEnd w:id="23"/>
      <w:r>
        <w:t>: Project staging</w:t>
      </w:r>
    </w:p>
    <w:p w:rsidR="00626666" w:rsidRDefault="00566ADB" w:rsidP="00626666">
      <w:r>
        <w:rPr>
          <w:noProof/>
          <w:lang w:eastAsia="en-AU"/>
        </w:rPr>
        <w:drawing>
          <wp:inline distT="0" distB="0" distL="0" distR="0">
            <wp:extent cx="5507990" cy="1902694"/>
            <wp:effectExtent l="19050" t="0" r="0" b="0"/>
            <wp:docPr id="12" name="Picture 4" descr="Project st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a:stretch>
                      <a:fillRect/>
                    </a:stretch>
                  </pic:blipFill>
                  <pic:spPr bwMode="auto">
                    <a:xfrm>
                      <a:off x="0" y="0"/>
                      <a:ext cx="5507990" cy="1902694"/>
                    </a:xfrm>
                    <a:prstGeom prst="rect">
                      <a:avLst/>
                    </a:prstGeom>
                    <a:noFill/>
                    <a:ln w="9525">
                      <a:noFill/>
                      <a:miter lim="800000"/>
                      <a:headEnd/>
                      <a:tailEnd/>
                    </a:ln>
                  </pic:spPr>
                </pic:pic>
              </a:graphicData>
            </a:graphic>
          </wp:inline>
        </w:drawing>
      </w:r>
    </w:p>
    <w:p w:rsidR="0054611C" w:rsidRPr="00626666" w:rsidRDefault="0054611C" w:rsidP="00626666"/>
    <w:p w:rsidR="008C0024" w:rsidRDefault="008C0024">
      <w:pPr>
        <w:rPr>
          <w:rFonts w:eastAsiaTheme="majorEastAsia" w:cstheme="majorBidi"/>
          <w:bCs/>
          <w:color w:val="0051BA" w:themeColor="accent1"/>
          <w:sz w:val="24"/>
        </w:rPr>
      </w:pPr>
      <w:r>
        <w:br w:type="page"/>
      </w:r>
    </w:p>
    <w:p w:rsidR="00454882" w:rsidRDefault="00454882" w:rsidP="00454882">
      <w:pPr>
        <w:pStyle w:val="Heading3"/>
      </w:pPr>
      <w:r>
        <w:lastRenderedPageBreak/>
        <w:t xml:space="preserve">Project </w:t>
      </w:r>
      <w:r w:rsidR="00526782">
        <w:t>o</w:t>
      </w:r>
      <w:r w:rsidR="00922617">
        <w:t>bjectives</w:t>
      </w:r>
    </w:p>
    <w:p w:rsidR="00526782" w:rsidRDefault="0077627F" w:rsidP="0077627F">
      <w:r>
        <w:t>T</w:t>
      </w:r>
      <w:r w:rsidRPr="003F69DF">
        <w:t>he Project</w:t>
      </w:r>
      <w:r w:rsidR="00526782">
        <w:t xml:space="preserve">’s primary objective is to provide the Australian Capital Territory with judicial facilities that have the capacity and contemporary technologies to meet the needs of the justice community for the next period of Canberra’s growth. </w:t>
      </w:r>
    </w:p>
    <w:p w:rsidR="00526782" w:rsidRDefault="00526782" w:rsidP="0077627F">
      <w:r>
        <w:t>A focus on integrating the currently separated Magistrate’s Court and Supreme Court buildings, together with</w:t>
      </w:r>
      <w:r w:rsidR="00F866DC">
        <w:t xml:space="preserve"> honouring the heritage of the site</w:t>
      </w:r>
      <w:r w:rsidR="003E2F88">
        <w:t>,</w:t>
      </w:r>
      <w:r w:rsidR="00F866DC" w:rsidRPr="00F866DC">
        <w:t xml:space="preserve"> </w:t>
      </w:r>
      <w:r w:rsidR="00F866DC">
        <w:t>respecting jurisdictional identities</w:t>
      </w:r>
      <w:r w:rsidR="003E2F88">
        <w:t>,</w:t>
      </w:r>
      <w:r w:rsidR="00F866DC">
        <w:t xml:space="preserve"> and providing for the safety and dignity of all participants in the judicial process, will ensure that the new Courts Facility will provide an outstanding environment for the legal community.</w:t>
      </w:r>
    </w:p>
    <w:p w:rsidR="00F866DC" w:rsidRDefault="00F866DC" w:rsidP="0077627F">
      <w:r>
        <w:t>The following sections provide more detail on the key design objectives for the Project.</w:t>
      </w:r>
    </w:p>
    <w:p w:rsidR="0077627F" w:rsidRDefault="00EA4910" w:rsidP="008763F5">
      <w:pPr>
        <w:pStyle w:val="Heading4"/>
      </w:pPr>
      <w:r>
        <w:t>Functional i</w:t>
      </w:r>
      <w:r w:rsidR="008763F5" w:rsidRPr="0077627F">
        <w:t>ntegration</w:t>
      </w:r>
    </w:p>
    <w:p w:rsidR="008763F5" w:rsidRDefault="008763F5" w:rsidP="00EA4910">
      <w:pPr>
        <w:pStyle w:val="ListBullet"/>
      </w:pPr>
      <w:r>
        <w:t>T</w:t>
      </w:r>
      <w:r w:rsidRPr="00D17CA8">
        <w:t xml:space="preserve">he design of the New </w:t>
      </w:r>
      <w:r>
        <w:t xml:space="preserve">Facility will combine seamlessly </w:t>
      </w:r>
      <w:r w:rsidRPr="00D17CA8">
        <w:t xml:space="preserve">with the </w:t>
      </w:r>
      <w:r w:rsidR="002975CE">
        <w:t xml:space="preserve">Magistrates’ </w:t>
      </w:r>
      <w:r w:rsidRPr="00D17CA8">
        <w:t>Court</w:t>
      </w:r>
      <w:r>
        <w:t xml:space="preserve"> to </w:t>
      </w:r>
      <w:r w:rsidRPr="00D17CA8">
        <w:t>cr</w:t>
      </w:r>
      <w:r>
        <w:t xml:space="preserve">eate an integrated Courts Facility </w:t>
      </w:r>
      <w:r w:rsidRPr="00D17CA8">
        <w:t>that</w:t>
      </w:r>
      <w:r>
        <w:t xml:space="preserve"> is efficient, functional, and will deliver w</w:t>
      </w:r>
      <w:r w:rsidRPr="00D17CA8">
        <w:t>hole-of-life operational efficiencies for the Territory</w:t>
      </w:r>
      <w:r>
        <w:t>.</w:t>
      </w:r>
    </w:p>
    <w:p w:rsidR="008763F5" w:rsidRDefault="00526782" w:rsidP="00EA4910">
      <w:pPr>
        <w:pStyle w:val="ListBullet"/>
      </w:pPr>
      <w:r>
        <w:t>The Courts Facility</w:t>
      </w:r>
      <w:r w:rsidR="008763F5" w:rsidRPr="008763F5">
        <w:t xml:space="preserve"> </w:t>
      </w:r>
      <w:r w:rsidR="008763F5">
        <w:t xml:space="preserve">will respect the individual jurisdictional identities of the Supreme Court and </w:t>
      </w:r>
      <w:r w:rsidR="002975CE">
        <w:t xml:space="preserve">Magistrates’ </w:t>
      </w:r>
      <w:r w:rsidR="008763F5">
        <w:t>Court.</w:t>
      </w:r>
    </w:p>
    <w:p w:rsidR="008763F5" w:rsidRDefault="008763F5" w:rsidP="00EA4910">
      <w:pPr>
        <w:pStyle w:val="ListBullet"/>
      </w:pPr>
      <w:r>
        <w:t>The experience of the public court users (</w:t>
      </w:r>
      <w:r w:rsidRPr="003F69DF">
        <w:t>legal profession, litigants, witnesses</w:t>
      </w:r>
      <w:r>
        <w:t xml:space="preserve">, etc.) </w:t>
      </w:r>
      <w:r w:rsidR="00EA4910">
        <w:t>i</w:t>
      </w:r>
      <w:r w:rsidR="00526782">
        <w:t>n attending the Courts Facility</w:t>
      </w:r>
      <w:r w:rsidR="00EA4910">
        <w:t xml:space="preserve"> will be of a functionally integrated</w:t>
      </w:r>
      <w:r w:rsidR="00526782">
        <w:t>,</w:t>
      </w:r>
      <w:r w:rsidR="00EA4910">
        <w:t xml:space="preserve"> single facility.</w:t>
      </w:r>
    </w:p>
    <w:p w:rsidR="008763F5" w:rsidRPr="003F69DF" w:rsidRDefault="003E2F88" w:rsidP="00EA4910">
      <w:pPr>
        <w:pStyle w:val="ListBullet"/>
      </w:pPr>
      <w:r>
        <w:t>O</w:t>
      </w:r>
      <w:r w:rsidR="008763F5" w:rsidRPr="003F69DF">
        <w:t xml:space="preserve">perational efficiencies </w:t>
      </w:r>
      <w:r>
        <w:t xml:space="preserve">will be achieved </w:t>
      </w:r>
      <w:r w:rsidR="008763F5" w:rsidRPr="003F69DF">
        <w:t xml:space="preserve">through integration of </w:t>
      </w:r>
      <w:r w:rsidR="008763F5">
        <w:t>the Court F</w:t>
      </w:r>
      <w:r w:rsidR="00526782">
        <w:t>acility</w:t>
      </w:r>
      <w:r w:rsidR="008763F5" w:rsidRPr="003F69DF">
        <w:t xml:space="preserve"> and </w:t>
      </w:r>
      <w:r w:rsidR="008763F5">
        <w:t>the provision of S</w:t>
      </w:r>
      <w:r w:rsidR="008763F5" w:rsidRPr="003F69DF">
        <w:t>ervices across</w:t>
      </w:r>
      <w:r w:rsidR="00526782">
        <w:t xml:space="preserve"> the Court Facility</w:t>
      </w:r>
      <w:r w:rsidR="008763F5">
        <w:t>; and</w:t>
      </w:r>
    </w:p>
    <w:p w:rsidR="008763F5" w:rsidRDefault="00EA4910" w:rsidP="00EA4910">
      <w:pPr>
        <w:pStyle w:val="ListBullet"/>
      </w:pPr>
      <w:r>
        <w:t xml:space="preserve">Through connections, shared spaces and design continuity ensure that </w:t>
      </w:r>
      <w:r w:rsidR="008763F5" w:rsidRPr="003F69DF">
        <w:t xml:space="preserve">collegiality and </w:t>
      </w:r>
      <w:r>
        <w:t>strong</w:t>
      </w:r>
      <w:r w:rsidR="008763F5" w:rsidRPr="003F69DF">
        <w:t xml:space="preserve"> working relationships </w:t>
      </w:r>
      <w:r>
        <w:t>are facilitated a</w:t>
      </w:r>
      <w:r w:rsidR="008763F5" w:rsidRPr="003F69DF">
        <w:t xml:space="preserve">cross </w:t>
      </w:r>
      <w:r w:rsidR="008763F5">
        <w:t xml:space="preserve">court </w:t>
      </w:r>
      <w:r w:rsidR="008763F5" w:rsidRPr="003F69DF">
        <w:t>jurisdictions.</w:t>
      </w:r>
    </w:p>
    <w:p w:rsidR="00EA4910" w:rsidRDefault="00F866DC" w:rsidP="00EA4910">
      <w:pPr>
        <w:pStyle w:val="Heading4"/>
      </w:pPr>
      <w:r>
        <w:t>General c</w:t>
      </w:r>
      <w:r w:rsidR="00922617">
        <w:t>ourt design</w:t>
      </w:r>
      <w:r>
        <w:t xml:space="preserve"> requirements</w:t>
      </w:r>
    </w:p>
    <w:p w:rsidR="00EA4910" w:rsidRDefault="00EA4910" w:rsidP="00F866DC">
      <w:pPr>
        <w:pStyle w:val="ListBullet"/>
      </w:pPr>
      <w:r>
        <w:t>P</w:t>
      </w:r>
      <w:r w:rsidRPr="006A6BBA">
        <w:t>rovide an efficient, contemporary and safe environment for a</w:t>
      </w:r>
      <w:r>
        <w:t>ll users of the Court</w:t>
      </w:r>
      <w:r w:rsidR="00526782">
        <w:t>s Facility</w:t>
      </w:r>
      <w:r w:rsidRPr="006A6BBA">
        <w:t>, including the judiciary, magistracy, staff, legal profession, litigants, witnesses, de</w:t>
      </w:r>
      <w:r>
        <w:t>fendants and persons in custody.</w:t>
      </w:r>
    </w:p>
    <w:p w:rsidR="00EA4910" w:rsidRDefault="00526782" w:rsidP="00F866DC">
      <w:pPr>
        <w:pStyle w:val="ListBullet"/>
      </w:pPr>
      <w:r>
        <w:t>The Courts Facility</w:t>
      </w:r>
      <w:r w:rsidR="00EA4910">
        <w:t xml:space="preserve"> </w:t>
      </w:r>
      <w:r w:rsidR="00922617">
        <w:t>will</w:t>
      </w:r>
      <w:r w:rsidR="00EA4910">
        <w:t>:</w:t>
      </w:r>
    </w:p>
    <w:p w:rsidR="00EA4910" w:rsidRDefault="00EA4910" w:rsidP="00F866DC">
      <w:pPr>
        <w:pStyle w:val="ListBullet2"/>
      </w:pPr>
      <w:r>
        <w:t>be</w:t>
      </w:r>
      <w:r w:rsidRPr="003F69DF">
        <w:t xml:space="preserve"> welcoming to the public</w:t>
      </w:r>
      <w:r>
        <w:t xml:space="preserve"> without an institutional feel;</w:t>
      </w:r>
    </w:p>
    <w:p w:rsidR="00EA4910" w:rsidRDefault="00EA4910" w:rsidP="00F866DC">
      <w:pPr>
        <w:pStyle w:val="ListBullet2"/>
      </w:pPr>
      <w:r w:rsidRPr="003F69DF">
        <w:t>be accessible for all users</w:t>
      </w:r>
      <w:r>
        <w:t>;</w:t>
      </w:r>
    </w:p>
    <w:p w:rsidR="00EA4910" w:rsidRDefault="00EA4910" w:rsidP="00F866DC">
      <w:pPr>
        <w:pStyle w:val="ListBullet2"/>
      </w:pPr>
      <w:r>
        <w:t>p</w:t>
      </w:r>
      <w:r w:rsidRPr="003F69DF">
        <w:t xml:space="preserve">rovide </w:t>
      </w:r>
      <w:r>
        <w:t xml:space="preserve">for the effective </w:t>
      </w:r>
      <w:r w:rsidRPr="003F69DF">
        <w:t xml:space="preserve">security </w:t>
      </w:r>
      <w:r>
        <w:t>of</w:t>
      </w:r>
      <w:r w:rsidRPr="003F69DF">
        <w:t xml:space="preserve"> participants i</w:t>
      </w:r>
      <w:r w:rsidR="00922617">
        <w:t>n the operations of the courts</w:t>
      </w:r>
      <w:r>
        <w:t xml:space="preserve"> </w:t>
      </w:r>
      <w:r w:rsidRPr="003F69DF">
        <w:t xml:space="preserve">both within courtrooms and within </w:t>
      </w:r>
      <w:r>
        <w:t>other areas of the building;</w:t>
      </w:r>
    </w:p>
    <w:p w:rsidR="00EA4910" w:rsidRDefault="00EA4910" w:rsidP="00F866DC">
      <w:pPr>
        <w:pStyle w:val="ListBullet2"/>
      </w:pPr>
      <w:r>
        <w:t>make use of the latest</w:t>
      </w:r>
      <w:r w:rsidRPr="003F69DF">
        <w:t xml:space="preserve"> technology </w:t>
      </w:r>
      <w:r>
        <w:t>to support ‘e-courts’, remote witnesses, remote defendants, in-court presentation of evidence and exhibits and security;</w:t>
      </w:r>
    </w:p>
    <w:p w:rsidR="00EA4910" w:rsidRPr="003F69DF" w:rsidRDefault="00EA4910" w:rsidP="00F866DC">
      <w:pPr>
        <w:pStyle w:val="ListBullet2"/>
      </w:pPr>
      <w:r>
        <w:t>deliver intuitive and effective way-finding through interior design and the use of artworks as well as through signage;</w:t>
      </w:r>
    </w:p>
    <w:p w:rsidR="00EA4910" w:rsidRDefault="00EA4910" w:rsidP="00F866DC">
      <w:pPr>
        <w:pStyle w:val="ListBullet2"/>
      </w:pPr>
      <w:r>
        <w:t>maximise o</w:t>
      </w:r>
      <w:r w:rsidRPr="003F69DF">
        <w:t>pportunities for n</w:t>
      </w:r>
      <w:r>
        <w:t>atural light and external views and incorporate other design strategies to provide a calming environment to reduce anxiety in areas where stress and the potential for conflict may occur;</w:t>
      </w:r>
    </w:p>
    <w:p w:rsidR="00EA4910" w:rsidRDefault="00EA4910" w:rsidP="00F866DC">
      <w:pPr>
        <w:pStyle w:val="ListBullet2"/>
      </w:pPr>
      <w:r>
        <w:t>acknowledge the history of the site and the traditional owners of the land; and</w:t>
      </w:r>
    </w:p>
    <w:p w:rsidR="00EA4910" w:rsidRDefault="00EA4910" w:rsidP="00F866DC">
      <w:pPr>
        <w:pStyle w:val="ListBullet2"/>
      </w:pPr>
      <w:proofErr w:type="gramStart"/>
      <w:r>
        <w:t>not</w:t>
      </w:r>
      <w:proofErr w:type="gramEnd"/>
      <w:r>
        <w:t xml:space="preserve"> compromise the dignity of defendants, including persons in custody.</w:t>
      </w:r>
    </w:p>
    <w:p w:rsidR="00EA4910" w:rsidRDefault="00EA4910" w:rsidP="00EA4910">
      <w:pPr>
        <w:pStyle w:val="Heading4"/>
      </w:pPr>
      <w:r>
        <w:lastRenderedPageBreak/>
        <w:t>Future proofing</w:t>
      </w:r>
    </w:p>
    <w:p w:rsidR="00EA4910" w:rsidRDefault="00526782" w:rsidP="00526782">
      <w:pPr>
        <w:pStyle w:val="ListBullet"/>
      </w:pPr>
      <w:r>
        <w:t>The Courts Facility will b</w:t>
      </w:r>
      <w:r w:rsidR="00EA4910" w:rsidRPr="006A6BBA">
        <w:t>e sufficiently flexible to accommodate future growth – both in regard to physical expansion and for changes in</w:t>
      </w:r>
      <w:r w:rsidR="00EA4910">
        <w:t xml:space="preserve"> technology and court processes.</w:t>
      </w:r>
    </w:p>
    <w:p w:rsidR="00EA4910" w:rsidRDefault="00EA4910" w:rsidP="00526782">
      <w:pPr>
        <w:pStyle w:val="ListBullet"/>
      </w:pPr>
      <w:r>
        <w:t xml:space="preserve">The </w:t>
      </w:r>
      <w:r w:rsidR="00526782">
        <w:t>New Facility</w:t>
      </w:r>
      <w:r>
        <w:t xml:space="preserve"> mu</w:t>
      </w:r>
      <w:r w:rsidR="00526782">
        <w:t>st</w:t>
      </w:r>
      <w:r>
        <w:t xml:space="preserve"> incorporate the necessary infrastructure and provide an appropriate ‘chassis’ to accommodate the future growth </w:t>
      </w:r>
      <w:r w:rsidR="00526782">
        <w:t>through the provision of additional</w:t>
      </w:r>
      <w:r>
        <w:t xml:space="preserve"> criminal courtrooms</w:t>
      </w:r>
      <w:r w:rsidR="00526782">
        <w:t>.</w:t>
      </w:r>
    </w:p>
    <w:p w:rsidR="00EA4910" w:rsidRDefault="00F866DC" w:rsidP="00EA4910">
      <w:pPr>
        <w:pStyle w:val="Heading4"/>
      </w:pPr>
      <w:r>
        <w:t>Urban, civic and heritage d</w:t>
      </w:r>
      <w:r w:rsidR="00EA4910" w:rsidRPr="0077627F">
        <w:t>esign</w:t>
      </w:r>
    </w:p>
    <w:p w:rsidR="00F866DC" w:rsidRDefault="00F866DC" w:rsidP="00F866DC">
      <w:pPr>
        <w:pStyle w:val="ListBullet"/>
      </w:pPr>
      <w:r>
        <w:t xml:space="preserve">The </w:t>
      </w:r>
      <w:r w:rsidR="00EA4910" w:rsidRPr="006A6BBA">
        <w:t xml:space="preserve">design </w:t>
      </w:r>
      <w:r>
        <w:t xml:space="preserve">will deliver a </w:t>
      </w:r>
      <w:r w:rsidR="00EA4910" w:rsidRPr="006A6BBA">
        <w:t>solution, internally and externally, that befits an important civic building in a prominent location</w:t>
      </w:r>
      <w:r w:rsidR="00526782">
        <w:t xml:space="preserve"> that </w:t>
      </w:r>
      <w:r w:rsidR="00EA4910" w:rsidRPr="00D17CA8">
        <w:t>is recognised as an exceptional example of civic and heritage conservation design</w:t>
      </w:r>
      <w:r>
        <w:t>.</w:t>
      </w:r>
    </w:p>
    <w:p w:rsidR="00EA4910" w:rsidRDefault="00F866DC" w:rsidP="00F866DC">
      <w:pPr>
        <w:pStyle w:val="ListBullet"/>
      </w:pPr>
      <w:r>
        <w:t>The New Facility design will respond</w:t>
      </w:r>
      <w:r w:rsidR="00EA4910" w:rsidRPr="00D17CA8">
        <w:t xml:space="preserve"> appropriately to the wider context of the urban pla</w:t>
      </w:r>
      <w:r w:rsidR="00EA4910">
        <w:t>nning requirements for Canberra.</w:t>
      </w:r>
    </w:p>
    <w:p w:rsidR="00EA4910" w:rsidRDefault="00EA4910" w:rsidP="00F866DC">
      <w:pPr>
        <w:pStyle w:val="ListBullet"/>
      </w:pPr>
      <w:r w:rsidRPr="003F69DF">
        <w:t>The design</w:t>
      </w:r>
      <w:r>
        <w:t xml:space="preserve"> of the Court</w:t>
      </w:r>
      <w:r w:rsidR="00F866DC">
        <w:t>s Facility</w:t>
      </w:r>
      <w:r>
        <w:t xml:space="preserve"> </w:t>
      </w:r>
      <w:r w:rsidR="00F866DC">
        <w:t>will</w:t>
      </w:r>
      <w:r>
        <w:t>:</w:t>
      </w:r>
    </w:p>
    <w:p w:rsidR="00EA4910" w:rsidRDefault="00EA4910" w:rsidP="00F866DC">
      <w:pPr>
        <w:pStyle w:val="ListBullet2"/>
      </w:pPr>
      <w:r w:rsidRPr="003F69DF">
        <w:t xml:space="preserve">be reflective of a Territory identity, strongly relate to the </w:t>
      </w:r>
      <w:r>
        <w:t>S</w:t>
      </w:r>
      <w:r w:rsidRPr="003F69DF">
        <w:t xml:space="preserve">ite and acknowledge the Griffin Plan and </w:t>
      </w:r>
      <w:r>
        <w:t>legal precinct;</w:t>
      </w:r>
    </w:p>
    <w:p w:rsidR="00EA4910" w:rsidRPr="003F69DF" w:rsidRDefault="00EA4910" w:rsidP="00F866DC">
      <w:pPr>
        <w:pStyle w:val="ListBullet2"/>
      </w:pPr>
      <w:r w:rsidRPr="003F69DF">
        <w:t>respect the location of the building and its orientation with the axis of University Aven</w:t>
      </w:r>
      <w:r>
        <w:t>ue and its significance to the municipal a</w:t>
      </w:r>
      <w:r w:rsidRPr="003F69DF">
        <w:t xml:space="preserve">xis within the Griffin </w:t>
      </w:r>
      <w:r>
        <w:t>Plan and proximity to City Hill;</w:t>
      </w:r>
    </w:p>
    <w:p w:rsidR="00EA4910" w:rsidRPr="003F69DF" w:rsidRDefault="00EA4910" w:rsidP="00F866DC">
      <w:pPr>
        <w:pStyle w:val="ListBullet2"/>
      </w:pPr>
      <w:r>
        <w:t>a</w:t>
      </w:r>
      <w:r w:rsidRPr="003F69DF">
        <w:t xml:space="preserve">dd significantly to the public realm of the </w:t>
      </w:r>
      <w:r>
        <w:t>City Hill</w:t>
      </w:r>
      <w:r w:rsidRPr="003F69DF">
        <w:t xml:space="preserve"> and create a </w:t>
      </w:r>
      <w:r>
        <w:t>precinct</w:t>
      </w:r>
      <w:r w:rsidRPr="003F69DF">
        <w:t xml:space="preserve"> </w:t>
      </w:r>
      <w:r>
        <w:t>with a strong sense of identity;</w:t>
      </w:r>
    </w:p>
    <w:p w:rsidR="00EA4910" w:rsidRPr="003F69DF" w:rsidRDefault="00EA4910" w:rsidP="00F866DC">
      <w:pPr>
        <w:pStyle w:val="ListBullet2"/>
      </w:pPr>
      <w:r>
        <w:t xml:space="preserve">through its </w:t>
      </w:r>
      <w:r w:rsidRPr="003F69DF">
        <w:t>architecture and interior design</w:t>
      </w:r>
      <w:r>
        <w:t xml:space="preserve">, </w:t>
      </w:r>
      <w:r w:rsidRPr="003F69DF">
        <w:t xml:space="preserve">establish a symbolism appropriate to the dignity </w:t>
      </w:r>
      <w:r>
        <w:t>and function of a law court;</w:t>
      </w:r>
    </w:p>
    <w:p w:rsidR="00EA4910" w:rsidRPr="003F69DF" w:rsidRDefault="00EA4910" w:rsidP="00F866DC">
      <w:pPr>
        <w:pStyle w:val="ListBullet2"/>
      </w:pPr>
      <w:r>
        <w:t>take</w:t>
      </w:r>
      <w:r w:rsidRPr="003F69DF">
        <w:t xml:space="preserve"> maximum advantage of the views to City Hill, Black Mountain </w:t>
      </w:r>
      <w:r>
        <w:t>and the Brindabella Ranges;</w:t>
      </w:r>
    </w:p>
    <w:p w:rsidR="00526782" w:rsidRDefault="00EA4910" w:rsidP="00F866DC">
      <w:pPr>
        <w:pStyle w:val="ListBullet2"/>
      </w:pPr>
      <w:r w:rsidRPr="003F69DF">
        <w:t>convey a sense of stren</w:t>
      </w:r>
      <w:r>
        <w:t>gth, stability and independence;</w:t>
      </w:r>
    </w:p>
    <w:p w:rsidR="00EA4910" w:rsidRDefault="00EA4910" w:rsidP="00F866DC">
      <w:pPr>
        <w:pStyle w:val="ListBullet2"/>
      </w:pPr>
      <w:proofErr w:type="gramStart"/>
      <w:r>
        <w:t>complement</w:t>
      </w:r>
      <w:proofErr w:type="gramEnd"/>
      <w:r>
        <w:t xml:space="preserve"> and respect the heritage value</w:t>
      </w:r>
      <w:r w:rsidRPr="003F69DF">
        <w:t xml:space="preserve"> of the </w:t>
      </w:r>
      <w:r>
        <w:t>location and the existing Supreme Court.</w:t>
      </w:r>
    </w:p>
    <w:p w:rsidR="00EA4910" w:rsidRDefault="00EA4910" w:rsidP="00EA4910">
      <w:pPr>
        <w:pStyle w:val="Heading4"/>
      </w:pPr>
      <w:r>
        <w:t>Sustainability</w:t>
      </w:r>
    </w:p>
    <w:p w:rsidR="00EA4910" w:rsidRPr="00526782" w:rsidRDefault="00F866DC" w:rsidP="00F866DC">
      <w:pPr>
        <w:pStyle w:val="ListBullet"/>
      </w:pPr>
      <w:r>
        <w:t>The New Facility will a</w:t>
      </w:r>
      <w:r w:rsidR="00EA4910" w:rsidRPr="00526782">
        <w:t>dopt a best practice approach to Environmenta</w:t>
      </w:r>
      <w:r>
        <w:t>lly Sustainable Design outcomes and achieve a minimum 5-star rating under the Green Buildings Council of Australia’s public buildings, as-built tool.</w:t>
      </w:r>
    </w:p>
    <w:p w:rsidR="00EA4910" w:rsidRPr="00526782" w:rsidRDefault="00F866DC" w:rsidP="00F866DC">
      <w:pPr>
        <w:pStyle w:val="ListBullet"/>
      </w:pPr>
      <w:r>
        <w:t xml:space="preserve">Through integration with the New Facility, the energy performance of the Existing Facility will, </w:t>
      </w:r>
      <w:r w:rsidR="00EA4910" w:rsidRPr="00526782">
        <w:t xml:space="preserve">where practicable and affordable, </w:t>
      </w:r>
      <w:r>
        <w:t xml:space="preserve">be improved to maximise the </w:t>
      </w:r>
      <w:r w:rsidR="00EA4910" w:rsidRPr="00526782">
        <w:t xml:space="preserve">whole-of-life </w:t>
      </w:r>
      <w:r>
        <w:t>efficiency of the full Courts Facility.</w:t>
      </w:r>
    </w:p>
    <w:p w:rsidR="008C0024" w:rsidRDefault="008C0024">
      <w:pPr>
        <w:rPr>
          <w:rFonts w:asciiTheme="minorHAnsi" w:eastAsiaTheme="majorEastAsia" w:hAnsiTheme="minorHAnsi" w:cstheme="majorBidi"/>
          <w:bCs/>
          <w:color w:val="0051BA" w:themeColor="accent1"/>
          <w:sz w:val="26"/>
          <w:szCs w:val="26"/>
        </w:rPr>
      </w:pPr>
      <w:bookmarkStart w:id="24" w:name="_Toc445867799"/>
      <w:r>
        <w:br w:type="page"/>
      </w:r>
    </w:p>
    <w:p w:rsidR="00454882" w:rsidRDefault="00454882" w:rsidP="00454882">
      <w:pPr>
        <w:pStyle w:val="Heading2"/>
      </w:pPr>
      <w:bookmarkStart w:id="25" w:name="_Toc453768987"/>
      <w:r>
        <w:lastRenderedPageBreak/>
        <w:t>ACT Partnerships Framework</w:t>
      </w:r>
      <w:bookmarkEnd w:id="24"/>
      <w:bookmarkEnd w:id="25"/>
    </w:p>
    <w:p w:rsidR="008E20F3" w:rsidRDefault="008E20F3" w:rsidP="008E20F3">
      <w:pPr>
        <w:pStyle w:val="Heading4"/>
      </w:pPr>
      <w:r>
        <w:t>Background</w:t>
      </w:r>
    </w:p>
    <w:p w:rsidR="00CC3C21" w:rsidRPr="00CC3C21" w:rsidRDefault="00CC3C21" w:rsidP="00CC3C21">
      <w:r w:rsidRPr="00CC3C21">
        <w:t xml:space="preserve">The Project is being delivered as a PPP in accordance with the </w:t>
      </w:r>
      <w:r w:rsidR="007B6C2F">
        <w:t>Territory</w:t>
      </w:r>
      <w:r w:rsidRPr="00CC3C21">
        <w:t xml:space="preserve">’s </w:t>
      </w:r>
      <w:r w:rsidR="006D2673" w:rsidRPr="006D2673">
        <w:rPr>
          <w:i/>
        </w:rPr>
        <w:t xml:space="preserve">The </w:t>
      </w:r>
      <w:r w:rsidRPr="00CC3C21">
        <w:rPr>
          <w:i/>
        </w:rPr>
        <w:t>Partnerships Framework</w:t>
      </w:r>
      <w:r w:rsidRPr="00CC3C21">
        <w:t xml:space="preserve">. </w:t>
      </w:r>
      <w:r w:rsidRPr="00CC3C21">
        <w:rPr>
          <w:i/>
        </w:rPr>
        <w:t>The Partnerships Framework</w:t>
      </w:r>
      <w:r>
        <w:t xml:space="preserve"> </w:t>
      </w:r>
      <w:r w:rsidRPr="00CC3C21">
        <w:t>model seeks to achieve better value for money by</w:t>
      </w:r>
      <w:r>
        <w:t xml:space="preserve"> </w:t>
      </w:r>
      <w:r w:rsidRPr="00CC3C21">
        <w:t>capturing the expertise and efficiencies of the private sector in designing, financing, building and</w:t>
      </w:r>
      <w:r>
        <w:t xml:space="preserve"> </w:t>
      </w:r>
      <w:r w:rsidRPr="00CC3C21">
        <w:t>maintaining infrastructure projects and providing services on a whole-of-life basis where appropriate.</w:t>
      </w:r>
    </w:p>
    <w:p w:rsidR="00CC3C21" w:rsidRPr="00CC3C21" w:rsidRDefault="00CC3C21" w:rsidP="00CC3C21">
      <w:r w:rsidRPr="00CC3C21">
        <w:rPr>
          <w:i/>
        </w:rPr>
        <w:t>The Partnerships Framework</w:t>
      </w:r>
      <w:r>
        <w:t xml:space="preserve"> sets out ACT specific policy requirements, but otherwise </w:t>
      </w:r>
      <w:r w:rsidR="003E2F88">
        <w:t>PPP projects in the Territory are delivered with regard to</w:t>
      </w:r>
      <w:r>
        <w:t xml:space="preserve"> the </w:t>
      </w:r>
      <w:r w:rsidRPr="00CC3C21">
        <w:t>National PPP Policy and Guidelines (National PPP Guidance) that apply across all State, Territory and</w:t>
      </w:r>
      <w:r>
        <w:t xml:space="preserve"> </w:t>
      </w:r>
      <w:r w:rsidRPr="00CC3C21">
        <w:t>Commonwealth arrangements</w:t>
      </w:r>
      <w:r>
        <w:t>.</w:t>
      </w:r>
    </w:p>
    <w:p w:rsidR="00CC3C21" w:rsidRPr="00CC3C21" w:rsidRDefault="00CC3C21" w:rsidP="00CC3C21">
      <w:r w:rsidRPr="00CC3C21">
        <w:t xml:space="preserve">Details of the National PPP Guidance and </w:t>
      </w:r>
      <w:r w:rsidRPr="00CC3C21">
        <w:rPr>
          <w:i/>
        </w:rPr>
        <w:t xml:space="preserve">The Partnerships Framework </w:t>
      </w:r>
      <w:r w:rsidRPr="00CC3C21">
        <w:t>are available at:</w:t>
      </w:r>
      <w:r>
        <w:t xml:space="preserve"> </w:t>
      </w:r>
      <w:hyperlink r:id="rId29" w:history="1">
        <w:r w:rsidR="003E2F88" w:rsidRPr="003E2F88">
          <w:rPr>
            <w:rStyle w:val="Hyperlink"/>
          </w:rPr>
          <w:t>https://infrastructure.gov.au/infrastructure/ngpd/</w:t>
        </w:r>
      </w:hyperlink>
      <w:r w:rsidR="003E2F88">
        <w:t xml:space="preserve"> </w:t>
      </w:r>
      <w:r w:rsidRPr="00CC3C21">
        <w:t xml:space="preserve">and </w:t>
      </w:r>
      <w:hyperlink r:id="rId30" w:history="1">
        <w:r w:rsidRPr="00EF7C67">
          <w:rPr>
            <w:rStyle w:val="Hyperlink"/>
          </w:rPr>
          <w:t>http://apps.treasury.act.gov.au/partnerships-framework</w:t>
        </w:r>
      </w:hyperlink>
      <w:r>
        <w:t xml:space="preserve"> </w:t>
      </w:r>
      <w:r w:rsidRPr="00CC3C21">
        <w:t>respectively.</w:t>
      </w:r>
    </w:p>
    <w:p w:rsidR="00CC3C21" w:rsidRPr="00CC3C21" w:rsidRDefault="00CC3C21" w:rsidP="00CC3C21">
      <w:pPr>
        <w:pStyle w:val="Heading4"/>
      </w:pPr>
      <w:r w:rsidRPr="00CC3C21">
        <w:t>Procurement Assessment</w:t>
      </w:r>
    </w:p>
    <w:p w:rsidR="00CC3C21" w:rsidRPr="00CC3C21" w:rsidRDefault="00CC3C21" w:rsidP="00CC3C21">
      <w:r>
        <w:t>In 2013 and early 2014</w:t>
      </w:r>
      <w:r w:rsidRPr="00CC3C21">
        <w:t xml:space="preserve">, during the business case development phase, the </w:t>
      </w:r>
      <w:r>
        <w:t>Territory</w:t>
      </w:r>
      <w:r w:rsidRPr="00CC3C21">
        <w:t xml:space="preserve"> considered a range of</w:t>
      </w:r>
      <w:r>
        <w:t xml:space="preserve"> </w:t>
      </w:r>
      <w:r w:rsidRPr="00CC3C21">
        <w:t>procurement models and identified several delivery methods for detailed assessment, such as:</w:t>
      </w:r>
    </w:p>
    <w:p w:rsidR="00CC3C21" w:rsidRPr="00CC3C21" w:rsidRDefault="00CC3C21" w:rsidP="00CC3C21">
      <w:pPr>
        <w:pStyle w:val="ListBullet"/>
      </w:pPr>
      <w:r w:rsidRPr="00CC3C21">
        <w:t>unbundled construction based models that separate the procurement of the design and</w:t>
      </w:r>
      <w:r>
        <w:t xml:space="preserve"> </w:t>
      </w:r>
      <w:r w:rsidRPr="00CC3C21">
        <w:t xml:space="preserve">construction of the new </w:t>
      </w:r>
      <w:r>
        <w:t>facility</w:t>
      </w:r>
      <w:r w:rsidRPr="00CC3C21">
        <w:t xml:space="preserve"> from its ongoing maintenance and other services</w:t>
      </w:r>
    </w:p>
    <w:p w:rsidR="00CC3C21" w:rsidRPr="00CC3C21" w:rsidRDefault="00CC3C21" w:rsidP="00CC3C21">
      <w:pPr>
        <w:pStyle w:val="ListBullet"/>
      </w:pPr>
      <w:r w:rsidRPr="00CC3C21">
        <w:t>construction based models that include an element of facility maintenance typically of hard</w:t>
      </w:r>
      <w:r>
        <w:t xml:space="preserve"> </w:t>
      </w:r>
      <w:r w:rsidRPr="00CC3C21">
        <w:t>facilities management but with no soft facilities management</w:t>
      </w:r>
    </w:p>
    <w:p w:rsidR="00CC3C21" w:rsidRPr="00CC3C21" w:rsidRDefault="00CC3C21" w:rsidP="00CC3C21">
      <w:pPr>
        <w:pStyle w:val="ListBullet"/>
      </w:pPr>
      <w:proofErr w:type="gramStart"/>
      <w:r>
        <w:t>a</w:t>
      </w:r>
      <w:proofErr w:type="gramEnd"/>
      <w:r>
        <w:t xml:space="preserve"> P</w:t>
      </w:r>
      <w:r w:rsidRPr="00CC3C21">
        <w:t>PP procurement model that includes hard facilities management</w:t>
      </w:r>
      <w:r>
        <w:t>, soft facilities management and selected judicial support services.</w:t>
      </w:r>
    </w:p>
    <w:p w:rsidR="00CC3C21" w:rsidRPr="00CC3C21" w:rsidRDefault="00CC3C21" w:rsidP="00CC3C21">
      <w:r w:rsidRPr="00CC3C21">
        <w:t>A range of key procurement drivers were considered in evaluating each of the above-mentioned</w:t>
      </w:r>
      <w:r>
        <w:t xml:space="preserve"> </w:t>
      </w:r>
      <w:r w:rsidRPr="00CC3C21">
        <w:t>models that included ensuring the achievement of:</w:t>
      </w:r>
    </w:p>
    <w:p w:rsidR="00CC3C21" w:rsidRPr="00CC3C21" w:rsidRDefault="00CC3C21" w:rsidP="00CC3C21">
      <w:pPr>
        <w:pStyle w:val="ListBullet"/>
      </w:pPr>
      <w:r w:rsidRPr="00CC3C21">
        <w:t>timely delivery of the Project</w:t>
      </w:r>
    </w:p>
    <w:p w:rsidR="00CC3C21" w:rsidRPr="00CC3C21" w:rsidRDefault="00CC3C21" w:rsidP="00CC3C21">
      <w:pPr>
        <w:pStyle w:val="ListBullet"/>
      </w:pPr>
      <w:r w:rsidRPr="00CC3C21">
        <w:t>optimal whole-of-life costs and value for money</w:t>
      </w:r>
    </w:p>
    <w:p w:rsidR="00CC3C21" w:rsidRPr="00CC3C21" w:rsidRDefault="00CC3C21" w:rsidP="00CC3C21">
      <w:pPr>
        <w:pStyle w:val="ListBullet"/>
      </w:pPr>
      <w:r w:rsidRPr="00CC3C21">
        <w:t>optimal risk allocation</w:t>
      </w:r>
    </w:p>
    <w:p w:rsidR="00CC3C21" w:rsidRPr="00CC3C21" w:rsidRDefault="00CC3C21" w:rsidP="00CC3C21">
      <w:pPr>
        <w:pStyle w:val="ListBullet"/>
      </w:pPr>
      <w:r w:rsidRPr="00CC3C21">
        <w:t>an efficient and appropriate facility design (including safe and secure)</w:t>
      </w:r>
    </w:p>
    <w:p w:rsidR="00CC3C21" w:rsidRPr="00CC3C21" w:rsidRDefault="00CC3C21" w:rsidP="00CC3C21">
      <w:pPr>
        <w:pStyle w:val="ListBullet"/>
      </w:pPr>
      <w:r w:rsidRPr="00CC3C21">
        <w:t>certainty of costs over the life of the asset</w:t>
      </w:r>
    </w:p>
    <w:p w:rsidR="00CC3C21" w:rsidRPr="00CC3C21" w:rsidRDefault="00CC3C21" w:rsidP="00CC3C21">
      <w:pPr>
        <w:pStyle w:val="ListBullet"/>
      </w:pPr>
      <w:r w:rsidRPr="00CC3C21">
        <w:t>service and maintenance standards over the life of the asset</w:t>
      </w:r>
    </w:p>
    <w:p w:rsidR="00CC3C21" w:rsidRPr="00CC3C21" w:rsidRDefault="00CC3C21" w:rsidP="00CC3C21">
      <w:pPr>
        <w:pStyle w:val="ListBullet"/>
      </w:pPr>
      <w:r w:rsidRPr="00CC3C21">
        <w:t>flexibility in operations over the life of the asset</w:t>
      </w:r>
    </w:p>
    <w:p w:rsidR="00CC3C21" w:rsidRPr="00CC3C21" w:rsidRDefault="00CC3C21" w:rsidP="00CC3C21">
      <w:pPr>
        <w:pStyle w:val="ListBullet"/>
      </w:pPr>
      <w:r w:rsidRPr="00CC3C21">
        <w:t>innovation in asset and service delivery</w:t>
      </w:r>
    </w:p>
    <w:p w:rsidR="00CC3C21" w:rsidRPr="00CC3C21" w:rsidRDefault="00CC3C21" w:rsidP="00CC3C21">
      <w:pPr>
        <w:pStyle w:val="ListBullet"/>
      </w:pPr>
      <w:proofErr w:type="gramStart"/>
      <w:r w:rsidRPr="00CC3C21">
        <w:t>a</w:t>
      </w:r>
      <w:proofErr w:type="gramEnd"/>
      <w:r w:rsidRPr="00CC3C21">
        <w:t xml:space="preserve"> competitive outcome.</w:t>
      </w:r>
    </w:p>
    <w:p w:rsidR="00CC3C21" w:rsidRPr="00CC3C21" w:rsidRDefault="00CC3C21" w:rsidP="00CC3C21">
      <w:r w:rsidRPr="00CC3C21">
        <w:lastRenderedPageBreak/>
        <w:t xml:space="preserve">After a detailed assessment of the various delivery models, </w:t>
      </w:r>
      <w:r>
        <w:t xml:space="preserve">a PPP </w:t>
      </w:r>
      <w:r w:rsidRPr="00CC3C21">
        <w:t>procurement</w:t>
      </w:r>
      <w:r>
        <w:t xml:space="preserve"> </w:t>
      </w:r>
      <w:r w:rsidRPr="00CC3C21">
        <w:t>model was identified as the preferred option. This was assessed as the preferred procurement model</w:t>
      </w:r>
      <w:r>
        <w:t xml:space="preserve"> </w:t>
      </w:r>
      <w:r w:rsidRPr="00CC3C21">
        <w:t>primarily on the basis that:</w:t>
      </w:r>
    </w:p>
    <w:p w:rsidR="00CC3C21" w:rsidRDefault="00CC3C21" w:rsidP="00CC3C21">
      <w:pPr>
        <w:pStyle w:val="ListBullet"/>
      </w:pPr>
      <w:r>
        <w:t>the risk transfer possible under a PPP approach would allow the Territory to retain minimal risk on the complex design and construction challenge of the Project as a brown-field development</w:t>
      </w:r>
    </w:p>
    <w:p w:rsidR="00CC3C21" w:rsidRPr="00CC3C21" w:rsidRDefault="00CC3C21" w:rsidP="00CC3C21">
      <w:pPr>
        <w:pStyle w:val="ListBullet"/>
      </w:pPr>
      <w:r w:rsidRPr="00CC3C21">
        <w:t>PPP delivery is the only delivery method that transfers maintenance and facilities management risk,</w:t>
      </w:r>
      <w:r>
        <w:t xml:space="preserve"> </w:t>
      </w:r>
      <w:r w:rsidRPr="00CC3C21">
        <w:t>site risk, asset capability risk and interface risk to the private sector in an integrated contract</w:t>
      </w:r>
    </w:p>
    <w:p w:rsidR="00CC3C21" w:rsidRPr="00CC3C21" w:rsidRDefault="00CC3C21" w:rsidP="00CC3C21">
      <w:pPr>
        <w:pStyle w:val="ListBullet"/>
      </w:pPr>
      <w:r w:rsidRPr="00CC3C21">
        <w:t>PPP delivery provides optimal whole-of-life costs as the private sector is responsible for long-term</w:t>
      </w:r>
      <w:r>
        <w:t xml:space="preserve"> </w:t>
      </w:r>
      <w:r w:rsidRPr="00CC3C21">
        <w:t>maintenance and facilities management in addition to design and construction, which should drive</w:t>
      </w:r>
      <w:r>
        <w:t xml:space="preserve"> </w:t>
      </w:r>
      <w:r w:rsidRPr="00CC3C21">
        <w:t>an optimal whole-of-life outcome</w:t>
      </w:r>
    </w:p>
    <w:p w:rsidR="00CC3C21" w:rsidRPr="00CC3C21" w:rsidRDefault="00CC3C21" w:rsidP="00CC3C21">
      <w:pPr>
        <w:pStyle w:val="ListBullet"/>
      </w:pPr>
      <w:proofErr w:type="gramStart"/>
      <w:r w:rsidRPr="00CC3C21">
        <w:t>there</w:t>
      </w:r>
      <w:proofErr w:type="gramEnd"/>
      <w:r w:rsidRPr="00CC3C21">
        <w:t xml:space="preserve"> was evidence of sufficient market depth to allow the </w:t>
      </w:r>
      <w:r w:rsidR="003E2F88">
        <w:t>Territory</w:t>
      </w:r>
      <w:r w:rsidR="003E2F88" w:rsidRPr="00CC3C21">
        <w:t xml:space="preserve"> </w:t>
      </w:r>
      <w:r w:rsidRPr="00CC3C21">
        <w:t>to achieve a competitive outcome</w:t>
      </w:r>
      <w:r>
        <w:t xml:space="preserve"> </w:t>
      </w:r>
      <w:r w:rsidRPr="00CC3C21">
        <w:t>through this model.</w:t>
      </w:r>
    </w:p>
    <w:p w:rsidR="00922617" w:rsidRPr="00CC3C21" w:rsidRDefault="00CC3C21" w:rsidP="00CC3C21">
      <w:r w:rsidRPr="00CC3C21">
        <w:t>The procurement assessment was supported by the business case undertaken for the Project.</w:t>
      </w:r>
    </w:p>
    <w:p w:rsidR="00454882" w:rsidRDefault="00454882" w:rsidP="00454882">
      <w:pPr>
        <w:pStyle w:val="Heading2"/>
      </w:pPr>
      <w:bookmarkStart w:id="26" w:name="_Toc445867800"/>
      <w:bookmarkStart w:id="27" w:name="_Toc453768988"/>
      <w:r>
        <w:t>Tender Process</w:t>
      </w:r>
      <w:bookmarkEnd w:id="26"/>
      <w:bookmarkEnd w:id="27"/>
    </w:p>
    <w:p w:rsidR="008E20F3" w:rsidRDefault="008E20F3" w:rsidP="008E20F3">
      <w:r w:rsidRPr="008E20F3">
        <w:t xml:space="preserve">The </w:t>
      </w:r>
      <w:r>
        <w:t>Territory</w:t>
      </w:r>
      <w:r w:rsidRPr="008E20F3">
        <w:t xml:space="preserve"> conducted a competitive tender process to identify the private sector party to deliver the</w:t>
      </w:r>
      <w:r>
        <w:t xml:space="preserve"> </w:t>
      </w:r>
      <w:r w:rsidRPr="008E20F3">
        <w:t xml:space="preserve">Project. The tender process was implemented in accordance with </w:t>
      </w:r>
      <w:r w:rsidRPr="008E20F3">
        <w:rPr>
          <w:i/>
        </w:rPr>
        <w:t>The Partnerships Framework</w:t>
      </w:r>
      <w:r>
        <w:t xml:space="preserve"> </w:t>
      </w:r>
      <w:r w:rsidRPr="008E20F3">
        <w:t xml:space="preserve">to ensure that the </w:t>
      </w:r>
      <w:r>
        <w:t>Territory</w:t>
      </w:r>
      <w:r w:rsidRPr="008E20F3">
        <w:t xml:space="preserve"> received the best value-for-money outcome. </w:t>
      </w:r>
    </w:p>
    <w:p w:rsidR="00922617" w:rsidRPr="008E20F3" w:rsidRDefault="008E20F3" w:rsidP="008E20F3">
      <w:r w:rsidRPr="008E20F3">
        <w:t>The tender process involved a call</w:t>
      </w:r>
      <w:r>
        <w:t xml:space="preserve"> </w:t>
      </w:r>
      <w:r w:rsidRPr="008E20F3">
        <w:t xml:space="preserve">for registrations of capability from the market (through the issue of the </w:t>
      </w:r>
      <w:r>
        <w:t xml:space="preserve">Invitation for </w:t>
      </w:r>
      <w:r w:rsidRPr="008E20F3">
        <w:t>Expressions of Interest (</w:t>
      </w:r>
      <w:r>
        <w:t>I</w:t>
      </w:r>
      <w:r w:rsidRPr="008E20F3">
        <w:t>EOI)</w:t>
      </w:r>
      <w:r>
        <w:t xml:space="preserve"> </w:t>
      </w:r>
      <w:r w:rsidRPr="008E20F3">
        <w:t>document)</w:t>
      </w:r>
      <w:r>
        <w:t>;</w:t>
      </w:r>
      <w:r w:rsidRPr="008E20F3">
        <w:t xml:space="preserve"> receipt of EOI </w:t>
      </w:r>
      <w:r>
        <w:t>submissions;</w:t>
      </w:r>
      <w:r w:rsidRPr="008E20F3">
        <w:t xml:space="preserve"> issue of a Request for Proposal (RFP) to short-listed</w:t>
      </w:r>
      <w:r>
        <w:t xml:space="preserve"> respondents; submission of P</w:t>
      </w:r>
      <w:r w:rsidRPr="008E20F3">
        <w:t>roposals</w:t>
      </w:r>
      <w:r>
        <w:t>;</w:t>
      </w:r>
      <w:r w:rsidRPr="008E20F3">
        <w:t xml:space="preserve"> </w:t>
      </w:r>
      <w:r>
        <w:t xml:space="preserve">and </w:t>
      </w:r>
      <w:r w:rsidRPr="008E20F3">
        <w:t>an eval</w:t>
      </w:r>
      <w:r>
        <w:t>uation and clarification phase</w:t>
      </w:r>
      <w:r w:rsidRPr="008E20F3">
        <w:t xml:space="preserve"> followed by the appointment of a Preferred Respondent and finalisation of contractual</w:t>
      </w:r>
      <w:r>
        <w:t xml:space="preserve"> </w:t>
      </w:r>
      <w:r w:rsidRPr="008E20F3">
        <w:t>documentation for execution.</w:t>
      </w:r>
    </w:p>
    <w:p w:rsidR="00922617" w:rsidRDefault="008E20F3" w:rsidP="008E20F3">
      <w:pPr>
        <w:pStyle w:val="Caption"/>
      </w:pPr>
      <w:r>
        <w:t xml:space="preserve">Table </w:t>
      </w:r>
      <w:fldSimple w:instr=" SEQ Table \* ARABIC ">
        <w:r w:rsidR="00F55362">
          <w:rPr>
            <w:noProof/>
          </w:rPr>
          <w:t>1</w:t>
        </w:r>
      </w:fldSimple>
      <w:r>
        <w:t>: Key procurement milestones</w:t>
      </w:r>
    </w:p>
    <w:tbl>
      <w:tblPr>
        <w:tblStyle w:val="TableGrid"/>
        <w:tblW w:w="0" w:type="auto"/>
        <w:tblLook w:val="04A0"/>
      </w:tblPr>
      <w:tblGrid>
        <w:gridCol w:w="2102"/>
        <w:gridCol w:w="6582"/>
      </w:tblGrid>
      <w:tr w:rsidR="00922617" w:rsidTr="00922617">
        <w:trPr>
          <w:cnfStyle w:val="100000000000"/>
          <w:tblHeader/>
        </w:trPr>
        <w:tc>
          <w:tcPr>
            <w:tcW w:w="2102" w:type="dxa"/>
          </w:tcPr>
          <w:p w:rsidR="00922617" w:rsidRDefault="00922617" w:rsidP="00922617">
            <w:pPr>
              <w:spacing w:before="96" w:after="96"/>
            </w:pPr>
            <w:r>
              <w:t>Date</w:t>
            </w:r>
          </w:p>
        </w:tc>
        <w:tc>
          <w:tcPr>
            <w:tcW w:w="6582" w:type="dxa"/>
          </w:tcPr>
          <w:p w:rsidR="00922617" w:rsidRDefault="00922617" w:rsidP="00922617">
            <w:pPr>
              <w:spacing w:before="96" w:after="96"/>
            </w:pPr>
            <w:r>
              <w:t>Tender Stage</w:t>
            </w:r>
          </w:p>
        </w:tc>
      </w:tr>
      <w:tr w:rsidR="00922617" w:rsidTr="00922617">
        <w:tc>
          <w:tcPr>
            <w:tcW w:w="2102" w:type="dxa"/>
          </w:tcPr>
          <w:p w:rsidR="00922617" w:rsidRDefault="00922617" w:rsidP="00922617">
            <w:r>
              <w:t>10 July 2014</w:t>
            </w:r>
          </w:p>
        </w:tc>
        <w:tc>
          <w:tcPr>
            <w:tcW w:w="6582" w:type="dxa"/>
          </w:tcPr>
          <w:p w:rsidR="00922617" w:rsidRDefault="00922617" w:rsidP="00922617">
            <w:r>
              <w:t>Invitation for EOI issued</w:t>
            </w:r>
          </w:p>
        </w:tc>
      </w:tr>
      <w:tr w:rsidR="00922617" w:rsidTr="00922617">
        <w:tc>
          <w:tcPr>
            <w:tcW w:w="2102" w:type="dxa"/>
          </w:tcPr>
          <w:p w:rsidR="00922617" w:rsidRDefault="00922617" w:rsidP="00922617">
            <w:r>
              <w:t>15 August 2014</w:t>
            </w:r>
          </w:p>
        </w:tc>
        <w:tc>
          <w:tcPr>
            <w:tcW w:w="6582" w:type="dxa"/>
          </w:tcPr>
          <w:p w:rsidR="00922617" w:rsidRDefault="00922617" w:rsidP="00922617">
            <w:r>
              <w:t>EOI proposals submitted</w:t>
            </w:r>
          </w:p>
        </w:tc>
      </w:tr>
      <w:tr w:rsidR="00922617" w:rsidTr="00922617">
        <w:tc>
          <w:tcPr>
            <w:tcW w:w="2102" w:type="dxa"/>
          </w:tcPr>
          <w:p w:rsidR="00922617" w:rsidRDefault="00226893" w:rsidP="00922617">
            <w:r>
              <w:t>07 October 2014</w:t>
            </w:r>
          </w:p>
        </w:tc>
        <w:tc>
          <w:tcPr>
            <w:tcW w:w="6582" w:type="dxa"/>
          </w:tcPr>
          <w:p w:rsidR="00922617" w:rsidRDefault="00922617" w:rsidP="00922617">
            <w:r>
              <w:t>Shortlist of respondents selected</w:t>
            </w:r>
          </w:p>
        </w:tc>
      </w:tr>
      <w:tr w:rsidR="00922617" w:rsidTr="00922617">
        <w:tc>
          <w:tcPr>
            <w:tcW w:w="2102" w:type="dxa"/>
          </w:tcPr>
          <w:p w:rsidR="00922617" w:rsidRDefault="00226893" w:rsidP="00922617">
            <w:r>
              <w:t>19 December 2014</w:t>
            </w:r>
          </w:p>
        </w:tc>
        <w:tc>
          <w:tcPr>
            <w:tcW w:w="6582" w:type="dxa"/>
          </w:tcPr>
          <w:p w:rsidR="00922617" w:rsidRDefault="00922617" w:rsidP="00922617">
            <w:r>
              <w:t>RFP issued</w:t>
            </w:r>
          </w:p>
        </w:tc>
      </w:tr>
      <w:tr w:rsidR="00922617" w:rsidTr="00922617">
        <w:tc>
          <w:tcPr>
            <w:tcW w:w="2102" w:type="dxa"/>
          </w:tcPr>
          <w:p w:rsidR="00922617" w:rsidRDefault="00226893" w:rsidP="00922617">
            <w:r>
              <w:t>29 May 2015</w:t>
            </w:r>
          </w:p>
        </w:tc>
        <w:tc>
          <w:tcPr>
            <w:tcW w:w="6582" w:type="dxa"/>
          </w:tcPr>
          <w:p w:rsidR="00922617" w:rsidRDefault="00922617" w:rsidP="00922617">
            <w:r>
              <w:t>RFP proposals received</w:t>
            </w:r>
          </w:p>
        </w:tc>
      </w:tr>
      <w:tr w:rsidR="00922617" w:rsidTr="00922617">
        <w:tc>
          <w:tcPr>
            <w:tcW w:w="2102" w:type="dxa"/>
          </w:tcPr>
          <w:p w:rsidR="00922617" w:rsidRDefault="00226893" w:rsidP="00922617">
            <w:r>
              <w:t>23 October 2015</w:t>
            </w:r>
          </w:p>
        </w:tc>
        <w:tc>
          <w:tcPr>
            <w:tcW w:w="6582" w:type="dxa"/>
          </w:tcPr>
          <w:p w:rsidR="00922617" w:rsidRDefault="00922617" w:rsidP="00922617">
            <w:r>
              <w:t>Preferred Respondent announced</w:t>
            </w:r>
          </w:p>
        </w:tc>
      </w:tr>
      <w:tr w:rsidR="00922617" w:rsidTr="00922617">
        <w:tc>
          <w:tcPr>
            <w:tcW w:w="2102" w:type="dxa"/>
          </w:tcPr>
          <w:p w:rsidR="00922617" w:rsidRDefault="00226893" w:rsidP="00922617">
            <w:r>
              <w:t>14 December 2015</w:t>
            </w:r>
          </w:p>
        </w:tc>
        <w:tc>
          <w:tcPr>
            <w:tcW w:w="6582" w:type="dxa"/>
          </w:tcPr>
          <w:p w:rsidR="00922617" w:rsidRDefault="00922617" w:rsidP="005831B7">
            <w:r>
              <w:t>Contract Close</w:t>
            </w:r>
          </w:p>
        </w:tc>
      </w:tr>
      <w:tr w:rsidR="00922617" w:rsidTr="00922617">
        <w:tc>
          <w:tcPr>
            <w:tcW w:w="2102" w:type="dxa"/>
          </w:tcPr>
          <w:p w:rsidR="00922617" w:rsidRDefault="00922617" w:rsidP="00922617">
            <w:r>
              <w:t>17 December 2015</w:t>
            </w:r>
          </w:p>
        </w:tc>
        <w:tc>
          <w:tcPr>
            <w:tcW w:w="6582" w:type="dxa"/>
          </w:tcPr>
          <w:p w:rsidR="00922617" w:rsidRDefault="00922617" w:rsidP="00922617">
            <w:r>
              <w:t>Financial Close</w:t>
            </w:r>
          </w:p>
        </w:tc>
      </w:tr>
    </w:tbl>
    <w:p w:rsidR="00922617" w:rsidRDefault="00922617" w:rsidP="009D06DB">
      <w:pPr>
        <w:pStyle w:val="space"/>
      </w:pPr>
    </w:p>
    <w:p w:rsidR="008E20F3" w:rsidRDefault="008E20F3" w:rsidP="008E20F3">
      <w:r w:rsidRPr="008E20F3">
        <w:t xml:space="preserve">A formal project governance structure was put in place to oversee the tender process including the evaluation of the detailed RFP </w:t>
      </w:r>
      <w:r>
        <w:t>P</w:t>
      </w:r>
      <w:r w:rsidRPr="008E20F3">
        <w:t>roposals. The governance structure is represented diagrammatically in</w:t>
      </w:r>
      <w:r>
        <w:t xml:space="preserve"> </w:t>
      </w:r>
      <w:r w:rsidR="00016AC7">
        <w:fldChar w:fldCharType="begin" w:fldLock="1"/>
      </w:r>
      <w:r>
        <w:instrText xml:space="preserve"> REF _Ref451249761 \h </w:instrText>
      </w:r>
      <w:r w:rsidR="00016AC7">
        <w:fldChar w:fldCharType="separate"/>
      </w:r>
      <w:r w:rsidR="0067732C">
        <w:t xml:space="preserve">Figure </w:t>
      </w:r>
      <w:r w:rsidR="0067732C">
        <w:rPr>
          <w:noProof/>
        </w:rPr>
        <w:t>6</w:t>
      </w:r>
      <w:r w:rsidR="00016AC7">
        <w:fldChar w:fldCharType="end"/>
      </w:r>
      <w:r w:rsidRPr="008E20F3">
        <w:t>.</w:t>
      </w:r>
    </w:p>
    <w:p w:rsidR="008E20F3" w:rsidRDefault="008E20F3" w:rsidP="008E20F3">
      <w:pPr>
        <w:pStyle w:val="Caption"/>
      </w:pPr>
      <w:bookmarkStart w:id="28" w:name="_Ref451249761"/>
      <w:r>
        <w:lastRenderedPageBreak/>
        <w:t xml:space="preserve">Figure </w:t>
      </w:r>
      <w:fldSimple w:instr=" SEQ Figure \* ARABIC ">
        <w:r w:rsidR="00F55362">
          <w:rPr>
            <w:noProof/>
          </w:rPr>
          <w:t>6</w:t>
        </w:r>
      </w:fldSimple>
      <w:bookmarkEnd w:id="28"/>
      <w:r>
        <w:t>: Project evaluation structure</w:t>
      </w:r>
    </w:p>
    <w:p w:rsidR="008E20F3" w:rsidRPr="008E20F3" w:rsidRDefault="009D06DB" w:rsidP="007F567E">
      <w:pPr>
        <w:jc w:val="center"/>
      </w:pPr>
      <w:r>
        <w:rPr>
          <w:noProof/>
          <w:lang w:eastAsia="en-AU"/>
        </w:rPr>
        <w:drawing>
          <wp:inline distT="0" distB="0" distL="0" distR="0">
            <wp:extent cx="4139712" cy="2813538"/>
            <wp:effectExtent l="19050" t="0" r="0" b="0"/>
            <wp:docPr id="7" name="Picture 1" descr="Project evaluation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139712" cy="2813538"/>
                    </a:xfrm>
                    <a:prstGeom prst="rect">
                      <a:avLst/>
                    </a:prstGeom>
                    <a:noFill/>
                    <a:ln w="9525">
                      <a:noFill/>
                      <a:miter lim="800000"/>
                      <a:headEnd/>
                      <a:tailEnd/>
                    </a:ln>
                  </pic:spPr>
                </pic:pic>
              </a:graphicData>
            </a:graphic>
          </wp:inline>
        </w:drawing>
      </w:r>
    </w:p>
    <w:p w:rsidR="003E2F88" w:rsidRDefault="003E2F88" w:rsidP="003E2F88">
      <w:r>
        <w:t>EOIs were received from six interested consortia and two were selected to proceed to the RFP stage. RFPs were received from the two shortlisted bidders on 29 May 2015.</w:t>
      </w:r>
    </w:p>
    <w:p w:rsidR="008E20F3" w:rsidRDefault="008E20F3" w:rsidP="008E20F3">
      <w:r w:rsidRPr="008E20F3">
        <w:t xml:space="preserve">The RFP evaluations </w:t>
      </w:r>
      <w:r w:rsidR="000C7C4D">
        <w:t xml:space="preserve">(including the impact of the clarification process) </w:t>
      </w:r>
      <w:r w:rsidRPr="008E20F3">
        <w:t xml:space="preserve">were conducted by an Evaluation Panel which was supported by three discipline-based evaluation sub-panels: </w:t>
      </w:r>
      <w:r w:rsidR="003E2F88">
        <w:t>Legal/Commercial</w:t>
      </w:r>
      <w:r w:rsidRPr="008E20F3">
        <w:t>, Design and Technical and Facility Management Services. Evaluation Panel and sub-panel membership was selected based on stakehold</w:t>
      </w:r>
      <w:r w:rsidR="000C7C4D">
        <w:t>er representation (including the Judiciary, Treasury, Procurement and Capital Works and the Justice and Community Safety Directorate</w:t>
      </w:r>
      <w:r w:rsidRPr="008E20F3">
        <w:t xml:space="preserve">) and requirements for appropriate and relevant skills and experience. The sub-panels were supported by </w:t>
      </w:r>
      <w:r w:rsidR="000C7C4D">
        <w:t xml:space="preserve">Law Courts and Tribunal </w:t>
      </w:r>
      <w:r w:rsidRPr="008E20F3">
        <w:t xml:space="preserve">staff, specialist advisers and other </w:t>
      </w:r>
      <w:r w:rsidR="000C7C4D">
        <w:t>government agencies as required</w:t>
      </w:r>
      <w:r w:rsidRPr="008E20F3">
        <w:t>. The key selection criteria used in the assessment of propo</w:t>
      </w:r>
      <w:r w:rsidR="000C7C4D">
        <w:t xml:space="preserve">sals are presented in </w:t>
      </w:r>
      <w:r w:rsidR="00016AC7">
        <w:fldChar w:fldCharType="begin" w:fldLock="1"/>
      </w:r>
      <w:r w:rsidR="000C7C4D">
        <w:instrText xml:space="preserve"> REF _Ref451250025 \n \h </w:instrText>
      </w:r>
      <w:r w:rsidR="00016AC7">
        <w:fldChar w:fldCharType="separate"/>
      </w:r>
      <w:r w:rsidR="0067732C">
        <w:t>Appendix D</w:t>
      </w:r>
      <w:r w:rsidR="00016AC7">
        <w:fldChar w:fldCharType="end"/>
      </w:r>
      <w:r w:rsidRPr="008E20F3">
        <w:t>.</w:t>
      </w:r>
    </w:p>
    <w:p w:rsidR="009941AB" w:rsidRDefault="009941AB" w:rsidP="009941AB">
      <w:r>
        <w:t xml:space="preserve">As part of the extensive RFP evaluation process, both bidders were asked to respond to clarifications about how their Proposals might address a number of issues highlighted during the evaluation process.  At the completion of the evaluation and clarification process, </w:t>
      </w:r>
      <w:proofErr w:type="spellStart"/>
      <w:r>
        <w:t>Juris</w:t>
      </w:r>
      <w:proofErr w:type="spellEnd"/>
      <w:r>
        <w:t xml:space="preserve"> Partnership’s solution was considered to represent best value-for-money.</w:t>
      </w:r>
    </w:p>
    <w:p w:rsidR="009941AB" w:rsidRDefault="009941AB" w:rsidP="009941AB">
      <w:r>
        <w:t xml:space="preserve">Accordingly, the Territory appointed </w:t>
      </w:r>
      <w:proofErr w:type="spellStart"/>
      <w:r>
        <w:t>Juris</w:t>
      </w:r>
      <w:proofErr w:type="spellEnd"/>
      <w:r>
        <w:t xml:space="preserve"> Partnership as Preferred Respondent and proceeded to negotiate the final form Project documents and executed the Project Agreement and ancillary contracts that govern the Project.</w:t>
      </w:r>
    </w:p>
    <w:p w:rsidR="009941AB" w:rsidRDefault="009941AB" w:rsidP="009941AB">
      <w:r>
        <w:t xml:space="preserve">The major strengths of the </w:t>
      </w:r>
      <w:proofErr w:type="spellStart"/>
      <w:r>
        <w:t>Juris</w:t>
      </w:r>
      <w:proofErr w:type="spellEnd"/>
      <w:r>
        <w:t xml:space="preserve"> Partnership proposal are:</w:t>
      </w:r>
    </w:p>
    <w:p w:rsidR="009941AB" w:rsidRDefault="009941AB" w:rsidP="009941AB">
      <w:pPr>
        <w:pStyle w:val="ListBullet"/>
      </w:pPr>
      <w:r>
        <w:t>an outstanding functional and architectural design solution that responded well to the critical heritage and urban design requirements</w:t>
      </w:r>
    </w:p>
    <w:p w:rsidR="009941AB" w:rsidRDefault="009941AB" w:rsidP="009941AB">
      <w:pPr>
        <w:pStyle w:val="ListBullet"/>
      </w:pPr>
      <w:r>
        <w:t>a technologically superior and future-proofed approach to providing managed courtroom audio-visual solutions throughout the Courts Facility</w:t>
      </w:r>
    </w:p>
    <w:p w:rsidR="009941AB" w:rsidRDefault="009941AB" w:rsidP="009941AB">
      <w:pPr>
        <w:pStyle w:val="ListBullet"/>
      </w:pPr>
      <w:r>
        <w:lastRenderedPageBreak/>
        <w:t xml:space="preserve">an effective response to the sustainability and energy efficiency requirements, including the provision of a 110kw </w:t>
      </w:r>
      <w:r w:rsidR="007B6C2F">
        <w:t xml:space="preserve">solar </w:t>
      </w:r>
      <w:r>
        <w:t>photovoltaic array</w:t>
      </w:r>
    </w:p>
    <w:p w:rsidR="009941AB" w:rsidRDefault="009941AB" w:rsidP="009941AB">
      <w:pPr>
        <w:pStyle w:val="ListBullet"/>
      </w:pPr>
      <w:r>
        <w:t>a design for the New Facility that provided two additional areas that can be converted in future to additional jury courtrooms</w:t>
      </w:r>
    </w:p>
    <w:p w:rsidR="009941AB" w:rsidRDefault="009941AB" w:rsidP="009941AB">
      <w:pPr>
        <w:pStyle w:val="ListBullet"/>
      </w:pPr>
      <w:r>
        <w:t>a highly competitive, risk-adjusted whole-of-life cost</w:t>
      </w:r>
    </w:p>
    <w:p w:rsidR="009941AB" w:rsidRDefault="009941AB" w:rsidP="009941AB">
      <w:pPr>
        <w:pStyle w:val="ListBullet"/>
      </w:pPr>
      <w:r>
        <w:t>a strong funding and commercial solution</w:t>
      </w:r>
    </w:p>
    <w:p w:rsidR="009941AB" w:rsidRDefault="009941AB" w:rsidP="009941AB">
      <w:pPr>
        <w:pStyle w:val="ListBullet"/>
      </w:pPr>
      <w:r>
        <w:t>an effective service delivery strategy and model that efficiently met the Territory’s operational requirements and demonstrated clear understanding of the operating environment</w:t>
      </w:r>
    </w:p>
    <w:p w:rsidR="009941AB" w:rsidRDefault="009941AB" w:rsidP="009941AB">
      <w:pPr>
        <w:pStyle w:val="ListBullet"/>
      </w:pPr>
      <w:proofErr w:type="gramStart"/>
      <w:r>
        <w:t>an</w:t>
      </w:r>
      <w:proofErr w:type="gramEnd"/>
      <w:r>
        <w:t xml:space="preserve"> appropriate allocation of project risk between parties.</w:t>
      </w:r>
    </w:p>
    <w:p w:rsidR="009941AB" w:rsidRDefault="009941AB" w:rsidP="009941AB">
      <w:r>
        <w:t>The tender process was undertaken within a robust probity framework and was endorsed by the Project’s probity adviser based on the following probity objectives:</w:t>
      </w:r>
    </w:p>
    <w:p w:rsidR="009941AB" w:rsidRDefault="009941AB" w:rsidP="009941AB">
      <w:pPr>
        <w:pStyle w:val="ListBullet"/>
      </w:pPr>
      <w:r>
        <w:t>fairness and impartiality</w:t>
      </w:r>
    </w:p>
    <w:p w:rsidR="009941AB" w:rsidRDefault="009941AB" w:rsidP="009941AB">
      <w:pPr>
        <w:pStyle w:val="ListBullet"/>
      </w:pPr>
      <w:r>
        <w:t>use of a competitive process</w:t>
      </w:r>
    </w:p>
    <w:p w:rsidR="009941AB" w:rsidRDefault="009941AB" w:rsidP="009941AB">
      <w:pPr>
        <w:pStyle w:val="ListBullet"/>
      </w:pPr>
      <w:r>
        <w:t>consistency and transparency</w:t>
      </w:r>
    </w:p>
    <w:p w:rsidR="009941AB" w:rsidRDefault="009941AB" w:rsidP="009941AB">
      <w:pPr>
        <w:pStyle w:val="ListBullet"/>
      </w:pPr>
      <w:r>
        <w:t>security and confidentiality</w:t>
      </w:r>
    </w:p>
    <w:p w:rsidR="009941AB" w:rsidRDefault="009941AB" w:rsidP="009941AB">
      <w:pPr>
        <w:pStyle w:val="ListBullet"/>
      </w:pPr>
      <w:r>
        <w:t>identification and resolution of conflicts of interest</w:t>
      </w:r>
    </w:p>
    <w:p w:rsidR="009941AB" w:rsidRPr="008E20F3" w:rsidRDefault="009941AB" w:rsidP="009941AB">
      <w:pPr>
        <w:pStyle w:val="ListBullet"/>
      </w:pPr>
      <w:proofErr w:type="gramStart"/>
      <w:r>
        <w:t>compliance</w:t>
      </w:r>
      <w:proofErr w:type="gramEnd"/>
      <w:r>
        <w:t xml:space="preserve"> with Government policies as they apply to tendering.</w:t>
      </w:r>
    </w:p>
    <w:p w:rsidR="00454882" w:rsidRDefault="00454882" w:rsidP="00454882">
      <w:pPr>
        <w:pStyle w:val="Heading2"/>
      </w:pPr>
      <w:bookmarkStart w:id="29" w:name="_Toc445867801"/>
      <w:bookmarkStart w:id="30" w:name="_Toc453768989"/>
      <w:r>
        <w:t>Value for Money</w:t>
      </w:r>
      <w:bookmarkEnd w:id="29"/>
      <w:bookmarkEnd w:id="30"/>
    </w:p>
    <w:p w:rsidR="00454882" w:rsidRDefault="006D2673" w:rsidP="00454882">
      <w:r w:rsidRPr="006D2673">
        <w:rPr>
          <w:i/>
        </w:rPr>
        <w:t>The Partnerships Framework</w:t>
      </w:r>
      <w:r w:rsidR="00454882">
        <w:t xml:space="preserve"> seeks to objectively identify and implement the most efficient form of infrastructure delivery. Under this approach, the analysis of value for money focuses on the benefits and risks associated with each delivery option. This involves a detailed examination of Territory managed delivery options and comparison of these with each proposal received from the private sector. The analysis considers quantifiable elements (i.e. items that can be quantified in monetary terms) as well as qualitative considerations.</w:t>
      </w:r>
    </w:p>
    <w:p w:rsidR="00454882" w:rsidRDefault="00454882" w:rsidP="00454882">
      <w:pPr>
        <w:pStyle w:val="Heading4"/>
      </w:pPr>
      <w:r>
        <w:t>Public Sector Comparator</w:t>
      </w:r>
    </w:p>
    <w:p w:rsidR="00454882" w:rsidRDefault="00454882" w:rsidP="00454882">
      <w:r>
        <w:t xml:space="preserve">The </w:t>
      </w:r>
      <w:r w:rsidR="00CB40CD">
        <w:t xml:space="preserve">development of a </w:t>
      </w:r>
      <w:r>
        <w:t xml:space="preserve">Public Sector Comparator (PSC) is </w:t>
      </w:r>
      <w:r w:rsidR="00CB40CD">
        <w:t xml:space="preserve">a standard process for PPPs and represents </w:t>
      </w:r>
      <w:r>
        <w:t>an estimate of the hypothetical, risk-adjusted, whole-of-life cost of the Project if delivered by the Territory. The PSC is developed in accordance with the proposed output specification and risk allocation included in the RFP and is based on the most likely and efficient form of conventional (i.e. non-PPP) delivery by the Territory.</w:t>
      </w:r>
    </w:p>
    <w:p w:rsidR="00454882" w:rsidRDefault="00454882" w:rsidP="00454882">
      <w:r>
        <w:t xml:space="preserve">The PSC is expressed in terms of the net present cost to the Territory, calculated using a discounted cash flow analysis and takes full account of the costs and assumed risks that would otherwise be encountered using the alternative style of procurement. The PSC includes amounts to cover both the design and construction costs and the maintenance and facilities management costs during the 25-year </w:t>
      </w:r>
      <w:r w:rsidR="00683E5E">
        <w:t>Services Phase</w:t>
      </w:r>
      <w:r>
        <w:t xml:space="preserve"> of the Project.</w:t>
      </w:r>
    </w:p>
    <w:p w:rsidR="00992997" w:rsidRDefault="00992997" w:rsidP="00454882"/>
    <w:p w:rsidR="00454882" w:rsidRDefault="00454882" w:rsidP="00454882">
      <w:r>
        <w:lastRenderedPageBreak/>
        <w:t xml:space="preserve">The PSC is made up of a number of elements as indicated in </w:t>
      </w:r>
      <w:r w:rsidR="00016AC7">
        <w:fldChar w:fldCharType="begin" w:fldLock="1"/>
      </w:r>
      <w:r>
        <w:instrText xml:space="preserve"> REF _Ref444608456 \h </w:instrText>
      </w:r>
      <w:r w:rsidR="00016AC7">
        <w:fldChar w:fldCharType="separate"/>
      </w:r>
      <w:r w:rsidR="0067732C">
        <w:t xml:space="preserve">Table </w:t>
      </w:r>
      <w:r w:rsidR="0067732C">
        <w:rPr>
          <w:noProof/>
        </w:rPr>
        <w:t>2</w:t>
      </w:r>
      <w:r w:rsidR="00016AC7">
        <w:fldChar w:fldCharType="end"/>
      </w:r>
      <w:r w:rsidR="003E2F88">
        <w:t>.</w:t>
      </w:r>
    </w:p>
    <w:p w:rsidR="00454882" w:rsidRDefault="00454882" w:rsidP="00454882">
      <w:pPr>
        <w:pStyle w:val="Caption"/>
      </w:pPr>
      <w:bookmarkStart w:id="31" w:name="_Ref444608456"/>
      <w:r>
        <w:t xml:space="preserve">Table </w:t>
      </w:r>
      <w:r w:rsidR="00016AC7" w:rsidRPr="00454882">
        <w:fldChar w:fldCharType="begin"/>
      </w:r>
      <w:r>
        <w:instrText xml:space="preserve"> SEQ Table \* ARABIC </w:instrText>
      </w:r>
      <w:r w:rsidR="00016AC7" w:rsidRPr="00454882">
        <w:fldChar w:fldCharType="separate"/>
      </w:r>
      <w:r w:rsidR="00F55362">
        <w:rPr>
          <w:noProof/>
        </w:rPr>
        <w:t>2</w:t>
      </w:r>
      <w:r w:rsidR="00016AC7" w:rsidRPr="00454882">
        <w:fldChar w:fldCharType="end"/>
      </w:r>
      <w:bookmarkEnd w:id="31"/>
      <w:r>
        <w:t xml:space="preserve">: </w:t>
      </w:r>
      <w:r w:rsidRPr="00121066">
        <w:t>Public Sector Comparator</w:t>
      </w:r>
    </w:p>
    <w:tbl>
      <w:tblPr>
        <w:tblStyle w:val="TableGrid"/>
        <w:tblW w:w="0" w:type="auto"/>
        <w:tblLook w:val="04A0"/>
      </w:tblPr>
      <w:tblGrid>
        <w:gridCol w:w="5392"/>
        <w:gridCol w:w="3292"/>
      </w:tblGrid>
      <w:tr w:rsidR="00454882" w:rsidTr="00183311">
        <w:trPr>
          <w:cnfStyle w:val="100000000000"/>
          <w:tblHeader/>
        </w:trPr>
        <w:tc>
          <w:tcPr>
            <w:tcW w:w="5392" w:type="dxa"/>
          </w:tcPr>
          <w:p w:rsidR="00454882" w:rsidRDefault="00454882" w:rsidP="00454882">
            <w:pPr>
              <w:spacing w:before="96" w:after="96"/>
            </w:pPr>
            <w:r>
              <w:t>Components of the PSC</w:t>
            </w:r>
          </w:p>
        </w:tc>
        <w:tc>
          <w:tcPr>
            <w:tcW w:w="3292" w:type="dxa"/>
          </w:tcPr>
          <w:p w:rsidR="00454882" w:rsidRDefault="00454882" w:rsidP="00454882">
            <w:pPr>
              <w:spacing w:before="96" w:after="96"/>
              <w:jc w:val="center"/>
            </w:pPr>
            <w:r>
              <w:t>Net Present Cost ($m)</w:t>
            </w:r>
          </w:p>
        </w:tc>
      </w:tr>
      <w:tr w:rsidR="00454882" w:rsidTr="00453AB1">
        <w:tc>
          <w:tcPr>
            <w:tcW w:w="5392" w:type="dxa"/>
          </w:tcPr>
          <w:p w:rsidR="00454882" w:rsidRDefault="00454882" w:rsidP="00454882">
            <w:r>
              <w:t>Capital costs</w:t>
            </w:r>
          </w:p>
        </w:tc>
        <w:tc>
          <w:tcPr>
            <w:tcW w:w="3292" w:type="dxa"/>
          </w:tcPr>
          <w:p w:rsidR="00454882" w:rsidRPr="00454882" w:rsidRDefault="00454882" w:rsidP="00454882">
            <w:pPr>
              <w:jc w:val="center"/>
            </w:pPr>
            <w:r>
              <w:t>13</w:t>
            </w:r>
            <w:r w:rsidRPr="00454882">
              <w:t>2.04</w:t>
            </w:r>
          </w:p>
        </w:tc>
      </w:tr>
      <w:tr w:rsidR="00454882" w:rsidTr="00453AB1">
        <w:tc>
          <w:tcPr>
            <w:tcW w:w="5392" w:type="dxa"/>
          </w:tcPr>
          <w:p w:rsidR="00454882" w:rsidRDefault="00454882" w:rsidP="00454882">
            <w:r>
              <w:t>Facilities management (Services) costs</w:t>
            </w:r>
          </w:p>
        </w:tc>
        <w:tc>
          <w:tcPr>
            <w:tcW w:w="3292" w:type="dxa"/>
          </w:tcPr>
          <w:p w:rsidR="00454882" w:rsidRPr="00454882" w:rsidRDefault="00454882" w:rsidP="00454882">
            <w:pPr>
              <w:jc w:val="center"/>
            </w:pPr>
            <w:r>
              <w:t>69.95</w:t>
            </w:r>
          </w:p>
        </w:tc>
      </w:tr>
      <w:tr w:rsidR="00454882" w:rsidTr="00453AB1">
        <w:tc>
          <w:tcPr>
            <w:tcW w:w="5392" w:type="dxa"/>
          </w:tcPr>
          <w:p w:rsidR="00454882" w:rsidRDefault="00454882" w:rsidP="00454882">
            <w:r>
              <w:t xml:space="preserve">Lifecycle replacement </w:t>
            </w:r>
          </w:p>
        </w:tc>
        <w:tc>
          <w:tcPr>
            <w:tcW w:w="3292" w:type="dxa"/>
          </w:tcPr>
          <w:p w:rsidR="00454882" w:rsidRPr="00454882" w:rsidRDefault="00454882" w:rsidP="00454882">
            <w:pPr>
              <w:jc w:val="center"/>
            </w:pPr>
            <w:r>
              <w:t>60.12</w:t>
            </w:r>
          </w:p>
        </w:tc>
      </w:tr>
      <w:tr w:rsidR="00454882" w:rsidTr="00453AB1">
        <w:tc>
          <w:tcPr>
            <w:tcW w:w="5392" w:type="dxa"/>
            <w:shd w:val="clear" w:color="auto" w:fill="D8E8FF" w:themeFill="accent3" w:themeFillTint="33"/>
          </w:tcPr>
          <w:p w:rsidR="00454882" w:rsidRPr="00454882" w:rsidRDefault="00454882" w:rsidP="00454882">
            <w:r>
              <w:t xml:space="preserve">Risk-adjusted </w:t>
            </w:r>
            <w:r w:rsidRPr="00454882">
              <w:t>PSC (disclosed</w:t>
            </w:r>
            <w:r w:rsidR="003E2F88">
              <w:t xml:space="preserve"> to the shortlisted bidders</w:t>
            </w:r>
            <w:r w:rsidRPr="00454882">
              <w:t>)</w:t>
            </w:r>
          </w:p>
        </w:tc>
        <w:tc>
          <w:tcPr>
            <w:tcW w:w="3292" w:type="dxa"/>
            <w:shd w:val="clear" w:color="auto" w:fill="D8E8FF" w:themeFill="accent3" w:themeFillTint="33"/>
          </w:tcPr>
          <w:p w:rsidR="00454882" w:rsidRPr="00454882" w:rsidRDefault="00454882" w:rsidP="00454882">
            <w:pPr>
              <w:jc w:val="center"/>
            </w:pPr>
            <w:r>
              <w:t>261.6</w:t>
            </w:r>
            <w:r w:rsidRPr="00454882">
              <w:t>1</w:t>
            </w:r>
          </w:p>
        </w:tc>
      </w:tr>
      <w:tr w:rsidR="00454882" w:rsidTr="00453AB1">
        <w:tc>
          <w:tcPr>
            <w:tcW w:w="5392" w:type="dxa"/>
          </w:tcPr>
          <w:p w:rsidR="00454882" w:rsidRPr="00454882" w:rsidRDefault="00454882" w:rsidP="00454882">
            <w:r>
              <w:t>Additional t</w:t>
            </w:r>
            <w:r w:rsidRPr="00454882">
              <w:t>ransferred risks</w:t>
            </w:r>
          </w:p>
        </w:tc>
        <w:tc>
          <w:tcPr>
            <w:tcW w:w="3292" w:type="dxa"/>
          </w:tcPr>
          <w:p w:rsidR="00454882" w:rsidRPr="00454882" w:rsidRDefault="00454882" w:rsidP="00454882">
            <w:pPr>
              <w:jc w:val="center"/>
            </w:pPr>
            <w:r>
              <w:t>4.</w:t>
            </w:r>
            <w:r w:rsidRPr="00454882">
              <w:t>65</w:t>
            </w:r>
          </w:p>
        </w:tc>
      </w:tr>
      <w:tr w:rsidR="00454882" w:rsidTr="00453AB1">
        <w:tc>
          <w:tcPr>
            <w:tcW w:w="5392" w:type="dxa"/>
          </w:tcPr>
          <w:p w:rsidR="00454882" w:rsidRDefault="00454882" w:rsidP="00454882">
            <w:r>
              <w:t>Competitive neutrality</w:t>
            </w:r>
          </w:p>
        </w:tc>
        <w:tc>
          <w:tcPr>
            <w:tcW w:w="3292" w:type="dxa"/>
          </w:tcPr>
          <w:p w:rsidR="00454882" w:rsidRPr="00454882" w:rsidRDefault="00454882" w:rsidP="00454882">
            <w:pPr>
              <w:jc w:val="center"/>
            </w:pPr>
            <w:r>
              <w:t>-</w:t>
            </w:r>
          </w:p>
        </w:tc>
      </w:tr>
      <w:tr w:rsidR="00454882" w:rsidTr="00992997">
        <w:tc>
          <w:tcPr>
            <w:tcW w:w="5392" w:type="dxa"/>
            <w:tcBorders>
              <w:bottom w:val="single" w:sz="4" w:space="0" w:color="0051BA" w:themeColor="accent1"/>
            </w:tcBorders>
            <w:shd w:val="clear" w:color="auto" w:fill="D8E8FF" w:themeFill="accent3" w:themeFillTint="33"/>
          </w:tcPr>
          <w:p w:rsidR="00454882" w:rsidRDefault="00454882" w:rsidP="00454882">
            <w:r>
              <w:t>PSC (excluding retained risk)</w:t>
            </w:r>
          </w:p>
        </w:tc>
        <w:tc>
          <w:tcPr>
            <w:tcW w:w="3292" w:type="dxa"/>
            <w:tcBorders>
              <w:bottom w:val="single" w:sz="4" w:space="0" w:color="0051BA" w:themeColor="accent1"/>
            </w:tcBorders>
            <w:shd w:val="clear" w:color="auto" w:fill="D8E8FF" w:themeFill="accent3" w:themeFillTint="33"/>
          </w:tcPr>
          <w:p w:rsidR="00454882" w:rsidRPr="00454882" w:rsidRDefault="00454882" w:rsidP="00454882">
            <w:pPr>
              <w:jc w:val="center"/>
            </w:pPr>
            <w:r>
              <w:t>266.</w:t>
            </w:r>
            <w:r w:rsidRPr="00454882">
              <w:t>26</w:t>
            </w:r>
          </w:p>
        </w:tc>
      </w:tr>
    </w:tbl>
    <w:p w:rsidR="005A044E" w:rsidRDefault="005A044E" w:rsidP="005A044E">
      <w:r>
        <w:t>Note: the assumptions used to formulate the PSC include:</w:t>
      </w:r>
    </w:p>
    <w:p w:rsidR="005A044E" w:rsidRPr="00454882" w:rsidRDefault="005A044E" w:rsidP="005A044E">
      <w:pPr>
        <w:pStyle w:val="TableNumListListNumber3"/>
        <w:numPr>
          <w:ilvl w:val="1"/>
          <w:numId w:val="41"/>
        </w:numPr>
      </w:pPr>
      <w:r>
        <w:t>All values are expressed in net p</w:t>
      </w:r>
      <w:r w:rsidRPr="00454882">
        <w:t xml:space="preserve">resent values as at 30 June 2015 and discounted at a nominal discount rate of 5.50% per annum in accordance with the National PPP Guidance applying under </w:t>
      </w:r>
      <w:r w:rsidRPr="005A044E">
        <w:rPr>
          <w:i/>
        </w:rPr>
        <w:t>The Partnerships Framework</w:t>
      </w:r>
      <w:r w:rsidRPr="00454882">
        <w:t>.</w:t>
      </w:r>
    </w:p>
    <w:p w:rsidR="005A044E" w:rsidRDefault="005A044E" w:rsidP="005A044E">
      <w:pPr>
        <w:pStyle w:val="TableNumListListNumber3"/>
      </w:pPr>
      <w:r>
        <w:t xml:space="preserve">The fully risk-adjusted PSC of $266.26 comprises the raw PSC at $239.0 million plus the assessed value of </w:t>
      </w:r>
      <w:r w:rsidRPr="00454882">
        <w:t>transferred risk at $27.26 million</w:t>
      </w:r>
      <w:r>
        <w:t>.  The risk-adjusted PSC disclosed to bidders during the RFP was $261.61 million which included $22.61 million for transferred risk. The amount of risk included in the disclosed PSC represented the mid-point of the probability assessment rather than the highest certainty level for assessed risks.</w:t>
      </w:r>
    </w:p>
    <w:p w:rsidR="005A044E" w:rsidRPr="00454882" w:rsidRDefault="005A044E" w:rsidP="005A044E">
      <w:pPr>
        <w:pStyle w:val="TableNumListListNumber3"/>
      </w:pPr>
      <w:r>
        <w:t>The transferred risk totalling $</w:t>
      </w:r>
      <w:r w:rsidRPr="00454882">
        <w:t xml:space="preserve">27.26 million refers only to those capital, lifecycle and facility management risks transferred to the private sector under </w:t>
      </w:r>
      <w:r w:rsidRPr="006D2673">
        <w:rPr>
          <w:i/>
        </w:rPr>
        <w:t>The Partnerships Framework</w:t>
      </w:r>
      <w:r w:rsidRPr="00454882">
        <w:t xml:space="preserve"> arrangements (i.e. those risks that the Territory would otherwise assume) and ex</w:t>
      </w:r>
      <w:r>
        <w:t>cludes the Territory’s estimate</w:t>
      </w:r>
      <w:r w:rsidRPr="00454882">
        <w:t xml:space="preserve"> of its retained risks.</w:t>
      </w:r>
    </w:p>
    <w:p w:rsidR="005A044E" w:rsidRDefault="005A044E" w:rsidP="005A044E">
      <w:r>
        <w:t>The competitive neutrality adjustment removes any net competitive advantages that accrue to a government business by virtue of its public ownership. No allowance was made in the PSC for competitive neutrality.</w:t>
      </w:r>
    </w:p>
    <w:p w:rsidR="00454882" w:rsidRDefault="00454882" w:rsidP="00454882">
      <w:r>
        <w:t xml:space="preserve">The net present cost of the total payments including service payments to be paid to </w:t>
      </w:r>
      <w:proofErr w:type="spellStart"/>
      <w:r>
        <w:t>Juris</w:t>
      </w:r>
      <w:proofErr w:type="spellEnd"/>
      <w:r>
        <w:t xml:space="preserve"> Partnership is compared with the PSC. If it is lower than the PSC, it is an indication that at face value, the proposal represents quantitative value for money.</w:t>
      </w:r>
    </w:p>
    <w:p w:rsidR="000179A5" w:rsidRDefault="008621F2">
      <w:pPr>
        <w:pStyle w:val="Heading4"/>
      </w:pPr>
      <w:r>
        <w:t xml:space="preserve">Payment to </w:t>
      </w:r>
      <w:proofErr w:type="spellStart"/>
      <w:r>
        <w:t>Juris</w:t>
      </w:r>
      <w:proofErr w:type="spellEnd"/>
      <w:r>
        <w:t xml:space="preserve"> Partnership</w:t>
      </w:r>
    </w:p>
    <w:p w:rsidR="00D14532" w:rsidRDefault="008621F2" w:rsidP="00D14532">
      <w:r>
        <w:t>The Territory will pay for the Project</w:t>
      </w:r>
      <w:r w:rsidR="00D14532">
        <w:t xml:space="preserve"> through a Monthly Service Payment (MSP)</w:t>
      </w:r>
      <w:r>
        <w:t xml:space="preserve"> arrangement</w:t>
      </w:r>
      <w:r w:rsidR="00D14532">
        <w:t xml:space="preserve">.  The MSP includes payments for the provision and availability of the Courts Facilities (i.e. servicing the debt and equity investments made during the D&amp;C Phase), the provision of the Services and the other running costs of </w:t>
      </w:r>
      <w:proofErr w:type="spellStart"/>
      <w:r w:rsidR="00D14532">
        <w:t>Juris</w:t>
      </w:r>
      <w:proofErr w:type="spellEnd"/>
      <w:r w:rsidR="00D14532">
        <w:t xml:space="preserve"> Partnership (management, insurances, etc.).</w:t>
      </w:r>
    </w:p>
    <w:p w:rsidR="008621F2" w:rsidRDefault="008621F2" w:rsidP="00D14532">
      <w:r>
        <w:t>Payment of the MSP commences on a partial basis (approximately 65% of the full MSP) on completion of Stage 1 and steps up to the full payment on completion of Stage 2.</w:t>
      </w:r>
    </w:p>
    <w:p w:rsidR="005646E4" w:rsidRDefault="005646E4" w:rsidP="00D14532">
      <w:r>
        <w:lastRenderedPageBreak/>
        <w:t xml:space="preserve">At Financial Close, the MSP is calculated and projected over the full term of the contract based on the fixed pricing of </w:t>
      </w:r>
      <w:proofErr w:type="spellStart"/>
      <w:r>
        <w:t>Juris</w:t>
      </w:r>
      <w:proofErr w:type="spellEnd"/>
      <w:r>
        <w:t xml:space="preserve"> Partnership along with assumptions for certain costs and </w:t>
      </w:r>
      <w:r w:rsidR="00713DBB">
        <w:t xml:space="preserve">adjustment mechanisms that </w:t>
      </w:r>
      <w:r w:rsidR="008844D0">
        <w:t xml:space="preserve">remain at </w:t>
      </w:r>
      <w:r w:rsidR="00713DBB">
        <w:t>the Territory</w:t>
      </w:r>
      <w:r w:rsidR="008844D0">
        <w:t>’s</w:t>
      </w:r>
      <w:r w:rsidR="00713DBB">
        <w:t xml:space="preserve"> risk.  These assumptions include:</w:t>
      </w:r>
    </w:p>
    <w:p w:rsidR="000179A5" w:rsidRDefault="00722255">
      <w:pPr>
        <w:pStyle w:val="ListBullet"/>
      </w:pPr>
      <w:r>
        <w:t xml:space="preserve">application of </w:t>
      </w:r>
      <w:r w:rsidR="00713DBB">
        <w:t xml:space="preserve">Consumer Price Index (CPI) at an annual rate of 2.5% which applies to most of the operational costs of </w:t>
      </w:r>
      <w:proofErr w:type="spellStart"/>
      <w:r w:rsidR="00713DBB">
        <w:t>Juris</w:t>
      </w:r>
      <w:proofErr w:type="spellEnd"/>
      <w:r w:rsidR="00713DBB">
        <w:t xml:space="preserve"> Partnership (but not to debt and equity repayments)</w:t>
      </w:r>
    </w:p>
    <w:p w:rsidR="000179A5" w:rsidRDefault="00713DBB">
      <w:pPr>
        <w:pStyle w:val="ListBullet"/>
      </w:pPr>
      <w:r>
        <w:t>the cost of insurances for the Courts Facility during the Services Phase</w:t>
      </w:r>
    </w:p>
    <w:p w:rsidR="000179A5" w:rsidRDefault="00713DBB">
      <w:pPr>
        <w:pStyle w:val="ListBullet"/>
      </w:pPr>
      <w:r>
        <w:t xml:space="preserve">the amount of demand for certain Services (e.g. transcription) where demand is </w:t>
      </w:r>
      <w:r w:rsidR="008844D0">
        <w:t xml:space="preserve">variable and </w:t>
      </w:r>
      <w:r>
        <w:t>driven by the Territory in the delivery of the judicial functions</w:t>
      </w:r>
    </w:p>
    <w:p w:rsidR="005D3E42" w:rsidRDefault="005D3E42">
      <w:r>
        <w:t>In addition, the projected</w:t>
      </w:r>
      <w:r w:rsidR="00910A9B">
        <w:t xml:space="preserve"> MSP does not take account of the following:</w:t>
      </w:r>
    </w:p>
    <w:p w:rsidR="005D3E42" w:rsidRDefault="005D3E42" w:rsidP="005D3E42">
      <w:pPr>
        <w:pStyle w:val="ListBullet"/>
      </w:pPr>
      <w:r>
        <w:t>t</w:t>
      </w:r>
      <w:r w:rsidRPr="005D3E42">
        <w:t xml:space="preserve">he occurrence of </w:t>
      </w:r>
      <w:r>
        <w:t xml:space="preserve">any Territory </w:t>
      </w:r>
      <w:r w:rsidRPr="005D3E42">
        <w:t xml:space="preserve">retained </w:t>
      </w:r>
      <w:r>
        <w:t xml:space="preserve">capital </w:t>
      </w:r>
      <w:r w:rsidRPr="005D3E42">
        <w:t xml:space="preserve">risk events </w:t>
      </w:r>
      <w:r>
        <w:t xml:space="preserve">that are financed </w:t>
      </w:r>
      <w:r w:rsidRPr="005D3E42">
        <w:t xml:space="preserve">through </w:t>
      </w:r>
      <w:r>
        <w:t>future MSP payments</w:t>
      </w:r>
    </w:p>
    <w:p w:rsidR="005D3E42" w:rsidRPr="005D3E42" w:rsidRDefault="005D3E42" w:rsidP="005D3E42">
      <w:pPr>
        <w:pStyle w:val="ListBullet"/>
      </w:pPr>
      <w:r>
        <w:t>the future impact on the Services costs (including periodic lifecycle costs) from any D&amp;C Phase modification</w:t>
      </w:r>
    </w:p>
    <w:p w:rsidR="005D3E42" w:rsidRDefault="00910A9B" w:rsidP="005D3E42">
      <w:pPr>
        <w:pStyle w:val="ListBullet"/>
      </w:pPr>
      <w:r>
        <w:t>repricing of the</w:t>
      </w:r>
      <w:r w:rsidR="005D3E42">
        <w:t xml:space="preserve"> </w:t>
      </w:r>
      <w:r w:rsidR="005D3E42" w:rsidRPr="00454882">
        <w:t>reviewable services</w:t>
      </w:r>
      <w:r>
        <w:t xml:space="preserve"> (cleaning, transcription, security, etc.) at five-yearly intervals during the contract term</w:t>
      </w:r>
    </w:p>
    <w:p w:rsidR="00910A9B" w:rsidRDefault="00910A9B" w:rsidP="005D3E42">
      <w:pPr>
        <w:pStyle w:val="ListBullet"/>
      </w:pPr>
      <w:r>
        <w:t>other circumstances where the Territory retains all or part of the risk (e.g. certain changes in law or policy)</w:t>
      </w:r>
    </w:p>
    <w:p w:rsidR="001F6D48" w:rsidRDefault="001F6D48" w:rsidP="005D3E42">
      <w:pPr>
        <w:pStyle w:val="ListBullet"/>
      </w:pPr>
      <w:r>
        <w:t>any adjustments to the MSP as a result of abetments for failures in service delivery</w:t>
      </w:r>
    </w:p>
    <w:p w:rsidR="00722255" w:rsidRDefault="00351471" w:rsidP="00713DBB">
      <w:r>
        <w:t xml:space="preserve">On the basis of the </w:t>
      </w:r>
      <w:proofErr w:type="spellStart"/>
      <w:r>
        <w:t>Juris</w:t>
      </w:r>
      <w:proofErr w:type="spellEnd"/>
      <w:r>
        <w:t xml:space="preserve"> Partnership proposal, and the </w:t>
      </w:r>
      <w:r w:rsidR="005D3E42">
        <w:t>matters</w:t>
      </w:r>
      <w:r>
        <w:t xml:space="preserve"> noted above, t</w:t>
      </w:r>
      <w:r w:rsidR="00713DBB">
        <w:t xml:space="preserve">he </w:t>
      </w:r>
      <w:r w:rsidR="001F6D48">
        <w:t xml:space="preserve">projected nominal (indexed) MSP payments that payable during the contract term </w:t>
      </w:r>
      <w:r w:rsidR="00722255">
        <w:t xml:space="preserve">are shown in </w:t>
      </w:r>
      <w:r w:rsidR="00016AC7">
        <w:fldChar w:fldCharType="begin"/>
      </w:r>
      <w:r w:rsidR="00722255">
        <w:instrText xml:space="preserve"> REF _Ref453690959 \h </w:instrText>
      </w:r>
      <w:r w:rsidR="00016AC7">
        <w:fldChar w:fldCharType="separate"/>
      </w:r>
      <w:r w:rsidR="00F55362">
        <w:t xml:space="preserve">Table </w:t>
      </w:r>
      <w:r w:rsidR="00F55362">
        <w:rPr>
          <w:noProof/>
        </w:rPr>
        <w:t>3</w:t>
      </w:r>
      <w:r w:rsidR="00016AC7">
        <w:fldChar w:fldCharType="end"/>
      </w:r>
      <w:r w:rsidR="00722255">
        <w:t xml:space="preserve"> below.</w:t>
      </w:r>
    </w:p>
    <w:p w:rsidR="00722255" w:rsidRDefault="00722255" w:rsidP="00722255">
      <w:pPr>
        <w:pStyle w:val="Caption"/>
      </w:pPr>
      <w:bookmarkStart w:id="32" w:name="_Ref453690959"/>
      <w:r>
        <w:t xml:space="preserve">Table </w:t>
      </w:r>
      <w:fldSimple w:instr=" SEQ Table \* ARABIC ">
        <w:r w:rsidR="00F55362">
          <w:rPr>
            <w:noProof/>
          </w:rPr>
          <w:t>3</w:t>
        </w:r>
      </w:fldSimple>
      <w:bookmarkEnd w:id="32"/>
      <w:r>
        <w:t xml:space="preserve">: </w:t>
      </w:r>
      <w:r w:rsidRPr="003D3E2B">
        <w:t>Estimated annual MSP</w:t>
      </w:r>
    </w:p>
    <w:p w:rsidR="001F6D48" w:rsidRDefault="006517BC" w:rsidP="001F6D48">
      <w:r>
        <w:rPr>
          <w:noProof/>
          <w:lang w:eastAsia="en-AU"/>
        </w:rPr>
        <w:drawing>
          <wp:anchor distT="0" distB="0" distL="114300" distR="114300" simplePos="0" relativeHeight="251693056" behindDoc="0" locked="0" layoutInCell="1" allowOverlap="1">
            <wp:simplePos x="0" y="0"/>
            <wp:positionH relativeFrom="column">
              <wp:posOffset>17172</wp:posOffset>
            </wp:positionH>
            <wp:positionV relativeFrom="paragraph">
              <wp:posOffset>35817</wp:posOffset>
            </wp:positionV>
            <wp:extent cx="5506619" cy="2384172"/>
            <wp:effectExtent l="19050" t="0" r="0" b="0"/>
            <wp:wrapTopAndBottom/>
            <wp:docPr id="15" name="Picture 1" descr="Estimated annual M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506619" cy="2384172"/>
                    </a:xfrm>
                    <a:prstGeom prst="rect">
                      <a:avLst/>
                    </a:prstGeom>
                    <a:noFill/>
                    <a:ln w="9525">
                      <a:noFill/>
                      <a:miter lim="800000"/>
                      <a:headEnd/>
                      <a:tailEnd/>
                    </a:ln>
                  </pic:spPr>
                </pic:pic>
              </a:graphicData>
            </a:graphic>
          </wp:anchor>
        </w:drawing>
      </w:r>
    </w:p>
    <w:p w:rsidR="001F6D48" w:rsidRDefault="001F6D48">
      <w:r>
        <w:br w:type="page"/>
      </w:r>
    </w:p>
    <w:p w:rsidR="001F6D48" w:rsidRDefault="001F6D48" w:rsidP="001F6D48">
      <w:r>
        <w:lastRenderedPageBreak/>
        <w:t xml:space="preserve">The amounts set out in </w:t>
      </w:r>
      <w:r w:rsidR="00016AC7">
        <w:fldChar w:fldCharType="begin"/>
      </w:r>
      <w:r>
        <w:instrText xml:space="preserve"> REF _Ref453690959 \h </w:instrText>
      </w:r>
      <w:r w:rsidR="00016AC7">
        <w:fldChar w:fldCharType="separate"/>
      </w:r>
      <w:r w:rsidR="00F55362">
        <w:t xml:space="preserve">Table </w:t>
      </w:r>
      <w:r w:rsidR="00F55362">
        <w:rPr>
          <w:noProof/>
        </w:rPr>
        <w:t>3</w:t>
      </w:r>
      <w:r w:rsidR="00016AC7">
        <w:fldChar w:fldCharType="end"/>
      </w:r>
      <w:r>
        <w:t xml:space="preserve"> are also represented the graph below.  The light blue bars in the graph indicate the amount of the MSP attributable to periodic lifecycle maintenance and refurbishment expenditure which varies from year to year.</w:t>
      </w:r>
    </w:p>
    <w:p w:rsidR="001F6D48" w:rsidRDefault="001F6D48" w:rsidP="001F6D48">
      <w:pPr>
        <w:pStyle w:val="Caption"/>
      </w:pPr>
      <w:r>
        <w:t xml:space="preserve">Figure </w:t>
      </w:r>
      <w:fldSimple w:instr=" SEQ Figure \* ARABIC ">
        <w:r w:rsidR="00F55362">
          <w:rPr>
            <w:noProof/>
          </w:rPr>
          <w:t>7</w:t>
        </w:r>
      </w:fldSimple>
      <w:r>
        <w:t>: Estimated annual MSP</w:t>
      </w:r>
    </w:p>
    <w:p w:rsidR="001F6D48" w:rsidRDefault="001F6D48" w:rsidP="001F6D48">
      <w:r>
        <w:rPr>
          <w:noProof/>
          <w:lang w:eastAsia="en-AU"/>
        </w:rPr>
        <w:drawing>
          <wp:inline distT="0" distB="0" distL="0" distR="0">
            <wp:extent cx="5476352" cy="2436725"/>
            <wp:effectExtent l="19050" t="0" r="0" b="0"/>
            <wp:docPr id="2" name="Picture 11" descr="Estimated annual M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srcRect l="566" t="1222"/>
                    <a:stretch>
                      <a:fillRect/>
                    </a:stretch>
                  </pic:blipFill>
                  <pic:spPr bwMode="auto">
                    <a:xfrm>
                      <a:off x="0" y="0"/>
                      <a:ext cx="5476352" cy="2436725"/>
                    </a:xfrm>
                    <a:prstGeom prst="rect">
                      <a:avLst/>
                    </a:prstGeom>
                    <a:noFill/>
                  </pic:spPr>
                </pic:pic>
              </a:graphicData>
            </a:graphic>
          </wp:inline>
        </w:drawing>
      </w:r>
    </w:p>
    <w:p w:rsidR="001F6D48" w:rsidRDefault="001F6D48" w:rsidP="001F6D48">
      <w:r>
        <w:t xml:space="preserve">In relation to the amounts in </w:t>
      </w:r>
      <w:r w:rsidR="00016AC7">
        <w:fldChar w:fldCharType="begin"/>
      </w:r>
      <w:r>
        <w:instrText xml:space="preserve"> REF _Ref453690959 \h </w:instrText>
      </w:r>
      <w:r w:rsidR="00016AC7">
        <w:fldChar w:fldCharType="separate"/>
      </w:r>
      <w:r w:rsidR="00F55362">
        <w:t xml:space="preserve">Table </w:t>
      </w:r>
      <w:r w:rsidR="00F55362">
        <w:rPr>
          <w:noProof/>
        </w:rPr>
        <w:t>3</w:t>
      </w:r>
      <w:r w:rsidR="00016AC7">
        <w:fldChar w:fldCharType="end"/>
      </w:r>
      <w:r>
        <w:t>, and the graph above, the following should be noted:</w:t>
      </w:r>
    </w:p>
    <w:p w:rsidR="001F6D48" w:rsidRDefault="001F6D48" w:rsidP="001F6D48">
      <w:pPr>
        <w:pStyle w:val="ListBullet"/>
      </w:pPr>
      <w:r>
        <w:t>financial year 2017-18 only represents a partial year for stage 1 MSP only</w:t>
      </w:r>
    </w:p>
    <w:p w:rsidR="001F6D48" w:rsidRDefault="001F6D48" w:rsidP="001F6D48">
      <w:pPr>
        <w:pStyle w:val="ListBullet"/>
      </w:pPr>
      <w:r>
        <w:t>financial year 2018-19 is a partial year for stage 2 payments (i.e. full MSP)</w:t>
      </w:r>
    </w:p>
    <w:p w:rsidR="001F6D48" w:rsidRDefault="001F6D48" w:rsidP="001F6D48">
      <w:pPr>
        <w:pStyle w:val="ListBullet"/>
      </w:pPr>
      <w:proofErr w:type="gramStart"/>
      <w:r>
        <w:t>financial</w:t>
      </w:r>
      <w:proofErr w:type="gramEnd"/>
      <w:r>
        <w:t xml:space="preserve"> year 2043-44 only represents a partial year.</w:t>
      </w:r>
    </w:p>
    <w:p w:rsidR="007D4DC1" w:rsidRDefault="007D4DC1" w:rsidP="00713DBB">
      <w:r>
        <w:t>When discounted at 7.3%</w:t>
      </w:r>
      <w:r w:rsidR="00C828FE">
        <w:t xml:space="preserve"> </w:t>
      </w:r>
      <w:r w:rsidR="00005592">
        <w:rPr>
          <w:rStyle w:val="FootnoteReference"/>
        </w:rPr>
        <w:footnoteReference w:id="1"/>
      </w:r>
      <w:r>
        <w:t xml:space="preserve"> to a base date of 30 June 2015</w:t>
      </w:r>
      <w:r w:rsidR="00722255">
        <w:t>,</w:t>
      </w:r>
      <w:r>
        <w:t xml:space="preserve"> the NPC of the </w:t>
      </w:r>
      <w:proofErr w:type="spellStart"/>
      <w:r>
        <w:t>Juris</w:t>
      </w:r>
      <w:proofErr w:type="spellEnd"/>
      <w:r>
        <w:t xml:space="preserve"> Partnership proposal </w:t>
      </w:r>
      <w:r w:rsidR="00190CFA">
        <w:t>is</w:t>
      </w:r>
      <w:r w:rsidR="003050E6">
        <w:t xml:space="preserve"> $250</w:t>
      </w:r>
      <w:r w:rsidR="000A0E50">
        <w:t>.4</w:t>
      </w:r>
      <w:r>
        <w:t xml:space="preserve"> million</w:t>
      </w:r>
      <w:r w:rsidR="00190CFA">
        <w:t>.</w:t>
      </w:r>
    </w:p>
    <w:p w:rsidR="00454882" w:rsidRDefault="00454882" w:rsidP="00454882">
      <w:pPr>
        <w:pStyle w:val="Heading4"/>
      </w:pPr>
      <w:r>
        <w:t>Quantitative value-for-money comparison</w:t>
      </w:r>
    </w:p>
    <w:p w:rsidR="00454882" w:rsidRDefault="00855E0A" w:rsidP="00454882">
      <w:r>
        <w:t>As noted above, value-for-money is established through comparison of the NPC of the successful proposal with the Territory’s PSC.</w:t>
      </w:r>
    </w:p>
    <w:p w:rsidR="00454882" w:rsidRDefault="00454882" w:rsidP="00454882">
      <w:r>
        <w:t xml:space="preserve">It should be noted that the original PSC did not include </w:t>
      </w:r>
      <w:r w:rsidR="00855E0A">
        <w:t xml:space="preserve">provision </w:t>
      </w:r>
      <w:r>
        <w:t>for a number of additional requirements that were subsequently added to the scope of the RFP after the PSC was established.  The scope additions included:</w:t>
      </w:r>
    </w:p>
    <w:p w:rsidR="00454882" w:rsidRDefault="00454882" w:rsidP="00454882">
      <w:pPr>
        <w:pStyle w:val="ListBullet"/>
      </w:pPr>
      <w:r>
        <w:t>replacement of failing security, audio-visual and video conferencing equipment as Priority Works</w:t>
      </w:r>
    </w:p>
    <w:p w:rsidR="00454882" w:rsidRDefault="00454882" w:rsidP="00454882">
      <w:pPr>
        <w:pStyle w:val="ListBullet"/>
      </w:pPr>
      <w:r>
        <w:t xml:space="preserve">full court technology, acoustic and lighting upgrades to 10 existing </w:t>
      </w:r>
      <w:r w:rsidR="002975CE">
        <w:t xml:space="preserve">Magistrates’ </w:t>
      </w:r>
      <w:r>
        <w:t>courtrooms</w:t>
      </w:r>
    </w:p>
    <w:p w:rsidR="00454882" w:rsidRDefault="00454882" w:rsidP="00454882">
      <w:pPr>
        <w:pStyle w:val="ListBullet"/>
      </w:pPr>
      <w:r>
        <w:t xml:space="preserve">comprehensive backlog maintenance and building standards work to the existing </w:t>
      </w:r>
      <w:r w:rsidR="002975CE">
        <w:t xml:space="preserve">Magistrates’ </w:t>
      </w:r>
      <w:r>
        <w:t>Court</w:t>
      </w:r>
    </w:p>
    <w:p w:rsidR="00454882" w:rsidRDefault="00454882" w:rsidP="00454882">
      <w:pPr>
        <w:pStyle w:val="ListBullet"/>
      </w:pPr>
      <w:r>
        <w:t>mandatory achievement of a 5-star rating with the Green Buildings Council of Australia for the New Facility</w:t>
      </w:r>
    </w:p>
    <w:p w:rsidR="00454882" w:rsidRDefault="00454882" w:rsidP="00454882">
      <w:pPr>
        <w:pStyle w:val="ListBullet"/>
      </w:pPr>
      <w:r>
        <w:lastRenderedPageBreak/>
        <w:t xml:space="preserve">the addition of a second persons-in-custody lift to the </w:t>
      </w:r>
      <w:r w:rsidR="002975CE">
        <w:t xml:space="preserve">Magistrates’ </w:t>
      </w:r>
      <w:r>
        <w:t>Court</w:t>
      </w:r>
    </w:p>
    <w:p w:rsidR="00454882" w:rsidRDefault="00454882" w:rsidP="00454882">
      <w:pPr>
        <w:pStyle w:val="ListBullet"/>
      </w:pPr>
      <w:proofErr w:type="gramStart"/>
      <w:r>
        <w:t>the</w:t>
      </w:r>
      <w:proofErr w:type="gramEnd"/>
      <w:r>
        <w:t xml:space="preserve"> addition of 3 extra remote witness rooms to the on-site vulnerable witness suite.</w:t>
      </w:r>
    </w:p>
    <w:p w:rsidR="00454882" w:rsidRDefault="00CB40CD" w:rsidP="00454882">
      <w:r>
        <w:t xml:space="preserve">This represents additional </w:t>
      </w:r>
      <w:r w:rsidR="00454882">
        <w:t>value</w:t>
      </w:r>
      <w:r w:rsidR="00C52C46">
        <w:t xml:space="preserve"> </w:t>
      </w:r>
      <w:r>
        <w:t>from</w:t>
      </w:r>
      <w:r w:rsidR="00C52C46">
        <w:t xml:space="preserve"> the </w:t>
      </w:r>
      <w:r>
        <w:t>expanded</w:t>
      </w:r>
      <w:r w:rsidR="00C52C46">
        <w:t xml:space="preserve"> scope </w:t>
      </w:r>
      <w:r>
        <w:t>of</w:t>
      </w:r>
      <w:r w:rsidR="00454882">
        <w:t xml:space="preserve"> $11.5 million</w:t>
      </w:r>
      <w:r w:rsidR="00886727">
        <w:t xml:space="preserve"> in NPC terms</w:t>
      </w:r>
      <w:r w:rsidR="00454882">
        <w:t>.</w:t>
      </w:r>
    </w:p>
    <w:p w:rsidR="00454882" w:rsidRDefault="00454882" w:rsidP="00454882">
      <w:r>
        <w:t>As indicated in</w:t>
      </w:r>
      <w:r w:rsidR="008C0024">
        <w:t xml:space="preserve"> </w:t>
      </w:r>
      <w:r w:rsidR="00016AC7">
        <w:fldChar w:fldCharType="begin"/>
      </w:r>
      <w:r w:rsidR="008C0024">
        <w:instrText xml:space="preserve"> REF _Ref445875763 \h </w:instrText>
      </w:r>
      <w:r w:rsidR="00016AC7">
        <w:fldChar w:fldCharType="separate"/>
      </w:r>
      <w:r w:rsidR="00F55362">
        <w:t xml:space="preserve">Table </w:t>
      </w:r>
      <w:r w:rsidR="00F55362">
        <w:rPr>
          <w:noProof/>
        </w:rPr>
        <w:t>4</w:t>
      </w:r>
      <w:r w:rsidR="00016AC7">
        <w:fldChar w:fldCharType="end"/>
      </w:r>
      <w:r w:rsidR="008C0024">
        <w:t xml:space="preserve"> below</w:t>
      </w:r>
      <w:r>
        <w:t xml:space="preserve">, the </w:t>
      </w:r>
      <w:proofErr w:type="spellStart"/>
      <w:r>
        <w:t>Juris</w:t>
      </w:r>
      <w:proofErr w:type="spellEnd"/>
      <w:r>
        <w:t xml:space="preserve"> Partnership proposal delivered a value-for-money outcome that was assessed at $27.4 million (or 9.9%) on the basis of comparison against the base</w:t>
      </w:r>
      <w:r w:rsidR="00CB2A82">
        <w:t xml:space="preserve"> </w:t>
      </w:r>
      <w:r>
        <w:t xml:space="preserve">PSC </w:t>
      </w:r>
      <w:r w:rsidR="00C52C46">
        <w:t xml:space="preserve">as adjusted to account for </w:t>
      </w:r>
      <w:r>
        <w:t xml:space="preserve">the additional scope value.  Against </w:t>
      </w:r>
      <w:r w:rsidR="00C52C46">
        <w:t>the base</w:t>
      </w:r>
      <w:r>
        <w:t xml:space="preserve"> PSC the assessed va</w:t>
      </w:r>
      <w:r w:rsidR="00C52C46">
        <w:t>lue-for-money outcome was $15.9 million (or 6.0</w:t>
      </w:r>
      <w:r>
        <w:t>%).</w:t>
      </w:r>
    </w:p>
    <w:p w:rsidR="00454882" w:rsidRDefault="00454882" w:rsidP="00454882">
      <w:pPr>
        <w:pStyle w:val="Caption"/>
      </w:pPr>
      <w:bookmarkStart w:id="33" w:name="_Ref445875763"/>
      <w:r>
        <w:t xml:space="preserve">Table </w:t>
      </w:r>
      <w:r w:rsidR="00016AC7" w:rsidRPr="00454882">
        <w:fldChar w:fldCharType="begin"/>
      </w:r>
      <w:r>
        <w:instrText xml:space="preserve"> SEQ Table \* ARABIC </w:instrText>
      </w:r>
      <w:r w:rsidR="00016AC7" w:rsidRPr="00454882">
        <w:fldChar w:fldCharType="separate"/>
      </w:r>
      <w:r w:rsidR="00F55362">
        <w:rPr>
          <w:noProof/>
        </w:rPr>
        <w:t>4</w:t>
      </w:r>
      <w:r w:rsidR="00016AC7" w:rsidRPr="00454882">
        <w:fldChar w:fldCharType="end"/>
      </w:r>
      <w:bookmarkEnd w:id="33"/>
      <w:r>
        <w:t>: Quantitative value-for-money comparison between public sector delivery and private sector delivery</w:t>
      </w:r>
    </w:p>
    <w:tbl>
      <w:tblPr>
        <w:tblStyle w:val="TableGrid"/>
        <w:tblW w:w="0" w:type="auto"/>
        <w:tblLook w:val="04A0"/>
      </w:tblPr>
      <w:tblGrid>
        <w:gridCol w:w="2415"/>
        <w:gridCol w:w="1562"/>
        <w:gridCol w:w="1562"/>
        <w:gridCol w:w="1562"/>
        <w:gridCol w:w="1563"/>
      </w:tblGrid>
      <w:tr w:rsidR="005A044E" w:rsidRPr="00D65EC7" w:rsidTr="00183311">
        <w:trPr>
          <w:cnfStyle w:val="100000000000"/>
          <w:tblHeader/>
        </w:trPr>
        <w:tc>
          <w:tcPr>
            <w:tcW w:w="2415" w:type="dxa"/>
            <w:tcBorders>
              <w:top w:val="single" w:sz="4" w:space="0" w:color="auto"/>
              <w:left w:val="single" w:sz="4" w:space="0" w:color="auto"/>
              <w:bottom w:val="single" w:sz="4" w:space="0" w:color="auto"/>
              <w:right w:val="single" w:sz="4" w:space="0" w:color="auto"/>
            </w:tcBorders>
            <w:shd w:val="clear" w:color="auto" w:fill="002060"/>
          </w:tcPr>
          <w:p w:rsidR="005A044E" w:rsidRPr="00454882" w:rsidRDefault="005A044E" w:rsidP="00454882">
            <w:pPr>
              <w:spacing w:before="96" w:after="96"/>
            </w:pPr>
          </w:p>
        </w:tc>
        <w:tc>
          <w:tcPr>
            <w:tcW w:w="1562" w:type="dxa"/>
            <w:tcBorders>
              <w:top w:val="single" w:sz="4" w:space="0" w:color="auto"/>
              <w:left w:val="single" w:sz="4" w:space="0" w:color="auto"/>
              <w:bottom w:val="single" w:sz="4" w:space="0" w:color="auto"/>
              <w:right w:val="single" w:sz="4" w:space="0" w:color="auto"/>
            </w:tcBorders>
            <w:shd w:val="clear" w:color="auto" w:fill="002060"/>
          </w:tcPr>
          <w:p w:rsidR="005A044E" w:rsidRPr="00454882" w:rsidRDefault="005A044E" w:rsidP="00F64FD2">
            <w:pPr>
              <w:spacing w:before="96" w:after="96"/>
              <w:jc w:val="center"/>
            </w:pPr>
            <w:r w:rsidRPr="00454882">
              <w:t>NPC of Public Sector Delivery ($m)</w:t>
            </w:r>
          </w:p>
        </w:tc>
        <w:tc>
          <w:tcPr>
            <w:tcW w:w="1562" w:type="dxa"/>
            <w:tcBorders>
              <w:top w:val="single" w:sz="4" w:space="0" w:color="auto"/>
              <w:left w:val="single" w:sz="4" w:space="0" w:color="auto"/>
              <w:bottom w:val="single" w:sz="4" w:space="0" w:color="auto"/>
              <w:right w:val="single" w:sz="4" w:space="0" w:color="auto"/>
            </w:tcBorders>
            <w:shd w:val="clear" w:color="auto" w:fill="002060"/>
          </w:tcPr>
          <w:p w:rsidR="005A044E" w:rsidRDefault="005A044E" w:rsidP="00F64FD2">
            <w:pPr>
              <w:spacing w:before="96" w:after="96"/>
              <w:jc w:val="center"/>
              <w:rPr>
                <w:rFonts w:eastAsiaTheme="majorEastAsia" w:cstheme="majorBidi"/>
                <w:b w:val="0"/>
                <w:bCs/>
                <w:color w:val="0051BA" w:themeColor="accent1"/>
                <w:sz w:val="48"/>
                <w:szCs w:val="28"/>
              </w:rPr>
            </w:pPr>
            <w:r w:rsidRPr="00454882">
              <w:t xml:space="preserve">NPC of </w:t>
            </w:r>
            <w:proofErr w:type="spellStart"/>
            <w:r w:rsidRPr="00454882">
              <w:t>Juris</w:t>
            </w:r>
            <w:proofErr w:type="spellEnd"/>
            <w:r w:rsidRPr="00454882">
              <w:t xml:space="preserve"> Partnership’s Proposal ($m)</w:t>
            </w:r>
          </w:p>
        </w:tc>
        <w:tc>
          <w:tcPr>
            <w:tcW w:w="1562" w:type="dxa"/>
            <w:tcBorders>
              <w:top w:val="single" w:sz="4" w:space="0" w:color="auto"/>
              <w:left w:val="single" w:sz="4" w:space="0" w:color="auto"/>
              <w:bottom w:val="single" w:sz="4" w:space="0" w:color="auto"/>
              <w:right w:val="single" w:sz="4" w:space="0" w:color="auto"/>
            </w:tcBorders>
            <w:shd w:val="clear" w:color="auto" w:fill="002060"/>
          </w:tcPr>
          <w:p w:rsidR="005A044E" w:rsidRPr="00454882" w:rsidRDefault="005A044E" w:rsidP="00F64FD2">
            <w:pPr>
              <w:spacing w:before="96" w:after="96"/>
              <w:jc w:val="center"/>
            </w:pPr>
            <w:r w:rsidRPr="00454882">
              <w:t>Value-for-Money ($m)</w:t>
            </w:r>
          </w:p>
        </w:tc>
        <w:tc>
          <w:tcPr>
            <w:tcW w:w="1563" w:type="dxa"/>
            <w:tcBorders>
              <w:top w:val="single" w:sz="4" w:space="0" w:color="auto"/>
              <w:left w:val="single" w:sz="4" w:space="0" w:color="auto"/>
              <w:bottom w:val="single" w:sz="4" w:space="0" w:color="auto"/>
              <w:right w:val="single" w:sz="4" w:space="0" w:color="auto"/>
            </w:tcBorders>
            <w:shd w:val="clear" w:color="auto" w:fill="002060"/>
          </w:tcPr>
          <w:p w:rsidR="005A044E" w:rsidRPr="00454882" w:rsidRDefault="005A044E" w:rsidP="00F64FD2">
            <w:pPr>
              <w:spacing w:before="96" w:after="96"/>
              <w:jc w:val="center"/>
            </w:pPr>
            <w:r w:rsidRPr="00454882">
              <w:t>Value-for-Money (%)</w:t>
            </w:r>
          </w:p>
        </w:tc>
      </w:tr>
      <w:tr w:rsidR="005A044E" w:rsidTr="005A044E">
        <w:tc>
          <w:tcPr>
            <w:tcW w:w="2415" w:type="dxa"/>
            <w:tcBorders>
              <w:top w:val="single" w:sz="4" w:space="0" w:color="auto"/>
            </w:tcBorders>
          </w:tcPr>
          <w:p w:rsidR="005A044E" w:rsidRPr="00454882" w:rsidRDefault="005A044E" w:rsidP="00454882">
            <w:r>
              <w:t xml:space="preserve">Base </w:t>
            </w:r>
            <w:r w:rsidRPr="00454882">
              <w:t>VFM analysis</w:t>
            </w:r>
          </w:p>
        </w:tc>
        <w:tc>
          <w:tcPr>
            <w:tcW w:w="1562" w:type="dxa"/>
            <w:tcBorders>
              <w:top w:val="single" w:sz="4" w:space="0" w:color="auto"/>
            </w:tcBorders>
          </w:tcPr>
          <w:p w:rsidR="005A044E" w:rsidRDefault="005A044E" w:rsidP="00454882">
            <w:pPr>
              <w:jc w:val="center"/>
            </w:pPr>
            <w:r>
              <w:t>266.3</w:t>
            </w:r>
          </w:p>
        </w:tc>
        <w:tc>
          <w:tcPr>
            <w:tcW w:w="1562" w:type="dxa"/>
            <w:tcBorders>
              <w:top w:val="single" w:sz="4" w:space="0" w:color="auto"/>
            </w:tcBorders>
          </w:tcPr>
          <w:p w:rsidR="005A044E" w:rsidRPr="00454882" w:rsidRDefault="005A044E" w:rsidP="00454882">
            <w:pPr>
              <w:jc w:val="center"/>
            </w:pPr>
            <w:r>
              <w:t>250.4</w:t>
            </w:r>
          </w:p>
        </w:tc>
        <w:tc>
          <w:tcPr>
            <w:tcW w:w="1562" w:type="dxa"/>
            <w:tcBorders>
              <w:top w:val="single" w:sz="4" w:space="0" w:color="auto"/>
            </w:tcBorders>
          </w:tcPr>
          <w:p w:rsidR="005A044E" w:rsidRPr="00454882" w:rsidRDefault="005A044E" w:rsidP="00454882">
            <w:pPr>
              <w:jc w:val="center"/>
            </w:pPr>
            <w:r>
              <w:t>15.9</w:t>
            </w:r>
          </w:p>
        </w:tc>
        <w:tc>
          <w:tcPr>
            <w:tcW w:w="1563" w:type="dxa"/>
            <w:tcBorders>
              <w:top w:val="single" w:sz="4" w:space="0" w:color="auto"/>
            </w:tcBorders>
          </w:tcPr>
          <w:p w:rsidR="005A044E" w:rsidRPr="00454882" w:rsidRDefault="005A044E" w:rsidP="00454882">
            <w:pPr>
              <w:jc w:val="center"/>
            </w:pPr>
            <w:r>
              <w:t>6.0</w:t>
            </w:r>
            <w:r w:rsidRPr="00454882">
              <w:t>%</w:t>
            </w:r>
          </w:p>
        </w:tc>
      </w:tr>
      <w:tr w:rsidR="005A044E" w:rsidTr="00C52C46">
        <w:tc>
          <w:tcPr>
            <w:tcW w:w="2415" w:type="dxa"/>
          </w:tcPr>
          <w:p w:rsidR="005A044E" w:rsidRPr="00454882" w:rsidRDefault="005A044E" w:rsidP="00454882">
            <w:r>
              <w:t>Adjusted VFM</w:t>
            </w:r>
            <w:r w:rsidRPr="00454882">
              <w:t xml:space="preserve"> analysis</w:t>
            </w:r>
          </w:p>
        </w:tc>
        <w:tc>
          <w:tcPr>
            <w:tcW w:w="1562" w:type="dxa"/>
          </w:tcPr>
          <w:p w:rsidR="005A044E" w:rsidRPr="00454882" w:rsidRDefault="005A044E" w:rsidP="00454882">
            <w:pPr>
              <w:jc w:val="center"/>
            </w:pPr>
            <w:r>
              <w:t>277.8</w:t>
            </w:r>
          </w:p>
        </w:tc>
        <w:tc>
          <w:tcPr>
            <w:tcW w:w="1562" w:type="dxa"/>
          </w:tcPr>
          <w:p w:rsidR="005A044E" w:rsidRPr="00454882" w:rsidRDefault="005A044E" w:rsidP="00454882">
            <w:pPr>
              <w:jc w:val="center"/>
            </w:pPr>
            <w:r>
              <w:t>250.4</w:t>
            </w:r>
          </w:p>
        </w:tc>
        <w:tc>
          <w:tcPr>
            <w:tcW w:w="1562" w:type="dxa"/>
          </w:tcPr>
          <w:p w:rsidR="005A044E" w:rsidRPr="00454882" w:rsidRDefault="005A044E" w:rsidP="00454882">
            <w:pPr>
              <w:jc w:val="center"/>
            </w:pPr>
            <w:r>
              <w:t>27.4</w:t>
            </w:r>
          </w:p>
        </w:tc>
        <w:tc>
          <w:tcPr>
            <w:tcW w:w="1563" w:type="dxa"/>
          </w:tcPr>
          <w:p w:rsidR="005A044E" w:rsidRPr="00454882" w:rsidRDefault="005A044E" w:rsidP="00454882">
            <w:pPr>
              <w:jc w:val="center"/>
            </w:pPr>
            <w:r>
              <w:t>9.9%</w:t>
            </w:r>
          </w:p>
        </w:tc>
      </w:tr>
    </w:tbl>
    <w:p w:rsidR="00454882" w:rsidRDefault="00454882" w:rsidP="00454882">
      <w:pPr>
        <w:pStyle w:val="space"/>
      </w:pPr>
    </w:p>
    <w:p w:rsidR="00454882" w:rsidRDefault="00454882" w:rsidP="00454882">
      <w:r>
        <w:t xml:space="preserve">This quantitative analysis does not recognise a range of other significant value-for-money benefits provided by the </w:t>
      </w:r>
      <w:proofErr w:type="spellStart"/>
      <w:r>
        <w:t>Juris</w:t>
      </w:r>
      <w:proofErr w:type="spellEnd"/>
      <w:r>
        <w:t xml:space="preserve"> Partnership proposal that were not included in the PSC. </w:t>
      </w:r>
      <w:proofErr w:type="spellStart"/>
      <w:r>
        <w:t>Juris</w:t>
      </w:r>
      <w:proofErr w:type="spellEnd"/>
      <w:r>
        <w:t xml:space="preserve"> Partnership’s proposal incorporated qualitative value for money benefits and design enhancements that go beyond the scope of the Territory’s reference project used to determine the PSC.</w:t>
      </w:r>
    </w:p>
    <w:p w:rsidR="00454882" w:rsidRDefault="00454882" w:rsidP="00454882">
      <w:r>
        <w:t>These benefits include:</w:t>
      </w:r>
    </w:p>
    <w:p w:rsidR="00454882" w:rsidRDefault="00454882" w:rsidP="00454882">
      <w:pPr>
        <w:pStyle w:val="ListBullet"/>
      </w:pPr>
      <w:r>
        <w:t>two additional jury courtroom areas within the New Facility chassis (one left as a shell area and the other used for the library) that will provide for future expansion requirements</w:t>
      </w:r>
    </w:p>
    <w:p w:rsidR="00454882" w:rsidRDefault="00454882" w:rsidP="00454882">
      <w:pPr>
        <w:pStyle w:val="ListBullet"/>
      </w:pPr>
      <w:r>
        <w:t>a fully managed video-conferencing and audio visual service for remote witness evidence (including recording, storage and retrieval service) and for the presentation of evidence and exhibits in court</w:t>
      </w:r>
    </w:p>
    <w:p w:rsidR="00454882" w:rsidRDefault="00454882" w:rsidP="00454882">
      <w:pPr>
        <w:pStyle w:val="ListBullet"/>
      </w:pPr>
      <w:r>
        <w:t>underwritten revenue (</w:t>
      </w:r>
      <w:r w:rsidR="00326B0A">
        <w:t>which reduces</w:t>
      </w:r>
      <w:r>
        <w:t xml:space="preserve"> the MSP) from the on-site café for the 25-year </w:t>
      </w:r>
      <w:r w:rsidR="00683E5E">
        <w:t>Services Phase</w:t>
      </w:r>
      <w:r>
        <w:t xml:space="preserve"> with mandatory obligations to operate the service</w:t>
      </w:r>
    </w:p>
    <w:p w:rsidR="00454882" w:rsidRDefault="00454882" w:rsidP="00454882">
      <w:pPr>
        <w:pStyle w:val="ListBullet"/>
      </w:pPr>
      <w:proofErr w:type="gramStart"/>
      <w:r>
        <w:t>solar</w:t>
      </w:r>
      <w:proofErr w:type="gramEnd"/>
      <w:r>
        <w:t xml:space="preserve"> water heating and photovoltaic arrays sized to meet the </w:t>
      </w:r>
      <w:r w:rsidR="007B6C2F">
        <w:t xml:space="preserve">Courts Facility’s </w:t>
      </w:r>
      <w:r>
        <w:t>base-load demand</w:t>
      </w:r>
      <w:r w:rsidR="007B6C2F">
        <w:t>.</w:t>
      </w:r>
    </w:p>
    <w:p w:rsidR="008C0024" w:rsidRDefault="008C0024">
      <w:pPr>
        <w:rPr>
          <w:rFonts w:asciiTheme="minorHAnsi" w:eastAsiaTheme="majorEastAsia" w:hAnsiTheme="minorHAnsi" w:cstheme="majorBidi"/>
          <w:bCs/>
          <w:color w:val="0051BA" w:themeColor="accent1"/>
          <w:sz w:val="26"/>
          <w:szCs w:val="26"/>
        </w:rPr>
      </w:pPr>
      <w:bookmarkStart w:id="34" w:name="_Toc445867802"/>
      <w:r>
        <w:br w:type="page"/>
      </w:r>
    </w:p>
    <w:p w:rsidR="00454882" w:rsidRDefault="00454882" w:rsidP="00454882">
      <w:pPr>
        <w:pStyle w:val="Heading2"/>
      </w:pPr>
      <w:bookmarkStart w:id="35" w:name="_Toc453768990"/>
      <w:r>
        <w:lastRenderedPageBreak/>
        <w:t>Project Milestones</w:t>
      </w:r>
      <w:bookmarkEnd w:id="34"/>
      <w:bookmarkEnd w:id="35"/>
    </w:p>
    <w:p w:rsidR="00EE3EC4" w:rsidRDefault="001470EF" w:rsidP="009941AB">
      <w:r>
        <w:t>As indicated in</w:t>
      </w:r>
      <w:r w:rsidR="008C0024">
        <w:t xml:space="preserve"> </w:t>
      </w:r>
      <w:r w:rsidR="00016AC7">
        <w:fldChar w:fldCharType="begin"/>
      </w:r>
      <w:r w:rsidR="008C0024">
        <w:instrText xml:space="preserve"> REF _Ref451253648 \h </w:instrText>
      </w:r>
      <w:r w:rsidR="00016AC7">
        <w:fldChar w:fldCharType="separate"/>
      </w:r>
      <w:r w:rsidR="00F55362">
        <w:t xml:space="preserve">Table </w:t>
      </w:r>
      <w:r w:rsidR="00F55362">
        <w:rPr>
          <w:noProof/>
        </w:rPr>
        <w:t>5</w:t>
      </w:r>
      <w:r w:rsidR="00016AC7">
        <w:fldChar w:fldCharType="end"/>
      </w:r>
      <w:r w:rsidR="008C0024">
        <w:t xml:space="preserve"> below</w:t>
      </w:r>
      <w:r>
        <w:t>, the construction phase for the Courts Facility will be complete by September 2018.  Stage 1 completion at the end of 2017 will deliver all of the new-build facilities, including six new Supreme Court courtrooms.</w:t>
      </w:r>
      <w:r w:rsidR="00CB2A82">
        <w:t xml:space="preserve"> On completion of Stage 2 the remaining two Supreme Court courtrooms, the new custody area, the </w:t>
      </w:r>
      <w:r w:rsidR="00575D3D">
        <w:t xml:space="preserve">mediation suite and all other </w:t>
      </w:r>
      <w:r w:rsidR="00B75770">
        <w:t xml:space="preserve">remaining </w:t>
      </w:r>
      <w:r w:rsidR="00575D3D">
        <w:t>functional areas will be delivered.</w:t>
      </w:r>
      <w:r w:rsidR="00CB2A82">
        <w:t xml:space="preserve"> </w:t>
      </w:r>
    </w:p>
    <w:p w:rsidR="009941AB" w:rsidRDefault="009941AB" w:rsidP="009941AB">
      <w:pPr>
        <w:pStyle w:val="Caption"/>
      </w:pPr>
      <w:bookmarkStart w:id="36" w:name="_Ref451253648"/>
      <w:r>
        <w:t xml:space="preserve">Table </w:t>
      </w:r>
      <w:fldSimple w:instr=" SEQ Table \* ARABIC ">
        <w:r w:rsidR="00F55362">
          <w:rPr>
            <w:noProof/>
          </w:rPr>
          <w:t>5</w:t>
        </w:r>
      </w:fldSimple>
      <w:bookmarkEnd w:id="36"/>
      <w:r>
        <w:t xml:space="preserve">: Key </w:t>
      </w:r>
      <w:r w:rsidR="001470EF">
        <w:t>Project</w:t>
      </w:r>
      <w:r>
        <w:t xml:space="preserve"> milestones</w:t>
      </w:r>
    </w:p>
    <w:tbl>
      <w:tblPr>
        <w:tblStyle w:val="TableGrid"/>
        <w:tblW w:w="0" w:type="auto"/>
        <w:tblLook w:val="04A0"/>
      </w:tblPr>
      <w:tblGrid>
        <w:gridCol w:w="6213"/>
        <w:gridCol w:w="2471"/>
      </w:tblGrid>
      <w:tr w:rsidR="009941AB" w:rsidTr="009941AB">
        <w:trPr>
          <w:cnfStyle w:val="100000000000"/>
          <w:tblHeader/>
        </w:trPr>
        <w:tc>
          <w:tcPr>
            <w:tcW w:w="6213" w:type="dxa"/>
          </w:tcPr>
          <w:p w:rsidR="009941AB" w:rsidRDefault="009941AB" w:rsidP="009941AB">
            <w:pPr>
              <w:spacing w:before="96" w:after="96"/>
            </w:pPr>
            <w:r>
              <w:t>Milestones</w:t>
            </w:r>
          </w:p>
        </w:tc>
        <w:tc>
          <w:tcPr>
            <w:tcW w:w="2471" w:type="dxa"/>
          </w:tcPr>
          <w:p w:rsidR="009941AB" w:rsidRDefault="009941AB" w:rsidP="009941AB">
            <w:pPr>
              <w:spacing w:before="96" w:after="96"/>
            </w:pPr>
            <w:r>
              <w:t>Date</w:t>
            </w:r>
          </w:p>
        </w:tc>
      </w:tr>
      <w:tr w:rsidR="009941AB" w:rsidTr="009941AB">
        <w:tc>
          <w:tcPr>
            <w:tcW w:w="6213" w:type="dxa"/>
          </w:tcPr>
          <w:p w:rsidR="009941AB" w:rsidRDefault="009941AB" w:rsidP="009941AB">
            <w:r>
              <w:t>Contractual Close</w:t>
            </w:r>
          </w:p>
        </w:tc>
        <w:tc>
          <w:tcPr>
            <w:tcW w:w="2471" w:type="dxa"/>
          </w:tcPr>
          <w:p w:rsidR="009941AB" w:rsidRDefault="009941AB" w:rsidP="009941AB">
            <w:r>
              <w:t>14 December 2015</w:t>
            </w:r>
          </w:p>
        </w:tc>
      </w:tr>
      <w:tr w:rsidR="009941AB" w:rsidTr="009941AB">
        <w:tc>
          <w:tcPr>
            <w:tcW w:w="6213" w:type="dxa"/>
          </w:tcPr>
          <w:p w:rsidR="009941AB" w:rsidRDefault="009941AB" w:rsidP="009941AB">
            <w:r>
              <w:t>Financial Close</w:t>
            </w:r>
          </w:p>
        </w:tc>
        <w:tc>
          <w:tcPr>
            <w:tcW w:w="2471" w:type="dxa"/>
          </w:tcPr>
          <w:p w:rsidR="009941AB" w:rsidRDefault="009941AB" w:rsidP="009941AB">
            <w:r>
              <w:t>17 December 2015</w:t>
            </w:r>
          </w:p>
        </w:tc>
      </w:tr>
      <w:tr w:rsidR="009941AB" w:rsidTr="009941AB">
        <w:tc>
          <w:tcPr>
            <w:tcW w:w="6213" w:type="dxa"/>
          </w:tcPr>
          <w:p w:rsidR="009941AB" w:rsidRDefault="009941AB" w:rsidP="009941AB">
            <w:r>
              <w:t>Commencement of construction</w:t>
            </w:r>
          </w:p>
        </w:tc>
        <w:tc>
          <w:tcPr>
            <w:tcW w:w="2471" w:type="dxa"/>
          </w:tcPr>
          <w:p w:rsidR="009941AB" w:rsidRDefault="001470EF" w:rsidP="009941AB">
            <w:r>
              <w:t>18 December 2015</w:t>
            </w:r>
          </w:p>
        </w:tc>
      </w:tr>
      <w:tr w:rsidR="009941AB" w:rsidTr="009941AB">
        <w:tc>
          <w:tcPr>
            <w:tcW w:w="6213" w:type="dxa"/>
          </w:tcPr>
          <w:p w:rsidR="009941AB" w:rsidRDefault="009941AB" w:rsidP="009941AB">
            <w:r>
              <w:t>Completion of Stage 1</w:t>
            </w:r>
          </w:p>
        </w:tc>
        <w:tc>
          <w:tcPr>
            <w:tcW w:w="2471" w:type="dxa"/>
          </w:tcPr>
          <w:p w:rsidR="009941AB" w:rsidRDefault="001470EF" w:rsidP="009941AB">
            <w:r>
              <w:t>24 November 2017</w:t>
            </w:r>
          </w:p>
        </w:tc>
      </w:tr>
      <w:tr w:rsidR="009941AB" w:rsidTr="009941AB">
        <w:tc>
          <w:tcPr>
            <w:tcW w:w="6213" w:type="dxa"/>
          </w:tcPr>
          <w:p w:rsidR="009941AB" w:rsidRDefault="009941AB" w:rsidP="009941AB">
            <w:r>
              <w:t>Completion of Stage 2</w:t>
            </w:r>
          </w:p>
        </w:tc>
        <w:tc>
          <w:tcPr>
            <w:tcW w:w="2471" w:type="dxa"/>
          </w:tcPr>
          <w:p w:rsidR="009941AB" w:rsidRDefault="001470EF" w:rsidP="009941AB">
            <w:r>
              <w:t>28 August 2018</w:t>
            </w:r>
          </w:p>
        </w:tc>
      </w:tr>
      <w:tr w:rsidR="009941AB" w:rsidTr="009941AB">
        <w:tc>
          <w:tcPr>
            <w:tcW w:w="6213" w:type="dxa"/>
          </w:tcPr>
          <w:p w:rsidR="009941AB" w:rsidRDefault="009941AB" w:rsidP="009941AB">
            <w:r>
              <w:t>End of Project Term</w:t>
            </w:r>
          </w:p>
        </w:tc>
        <w:tc>
          <w:tcPr>
            <w:tcW w:w="2471" w:type="dxa"/>
          </w:tcPr>
          <w:p w:rsidR="009941AB" w:rsidRDefault="001470EF" w:rsidP="009941AB">
            <w:r>
              <w:t>August 2043</w:t>
            </w:r>
          </w:p>
        </w:tc>
      </w:tr>
    </w:tbl>
    <w:p w:rsidR="009941AB" w:rsidRPr="009941AB" w:rsidRDefault="009941AB" w:rsidP="009941AB"/>
    <w:p w:rsidR="00454882" w:rsidRDefault="00454882" w:rsidP="00454882">
      <w:pPr>
        <w:pStyle w:val="Heading1"/>
      </w:pPr>
      <w:bookmarkStart w:id="37" w:name="_Toc445867803"/>
      <w:bookmarkStart w:id="38" w:name="_Toc453768991"/>
      <w:r>
        <w:lastRenderedPageBreak/>
        <w:t>Commercial Features</w:t>
      </w:r>
      <w:bookmarkEnd w:id="37"/>
      <w:bookmarkEnd w:id="38"/>
    </w:p>
    <w:p w:rsidR="00454882" w:rsidRDefault="00454882" w:rsidP="00454882">
      <w:r>
        <w:t xml:space="preserve">Part Two of this document outlines the contractual relationships between the parties involved in the Project, including the allocation of risk and the obligations of both </w:t>
      </w:r>
      <w:proofErr w:type="spellStart"/>
      <w:r>
        <w:t>Juris</w:t>
      </w:r>
      <w:proofErr w:type="spellEnd"/>
      <w:r>
        <w:t xml:space="preserve"> Partnership and the Territory. A brief description of the </w:t>
      </w:r>
      <w:proofErr w:type="spellStart"/>
      <w:r>
        <w:t>Juris</w:t>
      </w:r>
      <w:proofErr w:type="spellEnd"/>
      <w:r>
        <w:t xml:space="preserve"> Partnership arrangements is also provided. Capitalised terms used in this Part Two are defined in the Project Agreement unless otherwise noted.</w:t>
      </w:r>
    </w:p>
    <w:p w:rsidR="00454882" w:rsidRDefault="00454882" w:rsidP="00454882">
      <w:pPr>
        <w:pStyle w:val="Heading2"/>
      </w:pPr>
      <w:bookmarkStart w:id="39" w:name="_Toc445867804"/>
      <w:bookmarkStart w:id="40" w:name="_Toc453768992"/>
      <w:r>
        <w:t>Project Documents</w:t>
      </w:r>
      <w:bookmarkEnd w:id="39"/>
      <w:bookmarkEnd w:id="40"/>
    </w:p>
    <w:p w:rsidR="00454882" w:rsidRDefault="00C52C46" w:rsidP="00454882">
      <w:r>
        <w:t>On 14</w:t>
      </w:r>
      <w:r w:rsidR="00454882">
        <w:t xml:space="preserve"> December 2015 the Under Treasurer, on behalf of the Territory, executed the Project Agreement and other associated Project </w:t>
      </w:r>
      <w:r w:rsidR="005B4AD6">
        <w:t>D</w:t>
      </w:r>
      <w:r w:rsidR="00454882">
        <w:t>ocument</w:t>
      </w:r>
      <w:r w:rsidR="005B4AD6">
        <w:t>s</w:t>
      </w:r>
      <w:r w:rsidR="00454882">
        <w:t xml:space="preserve"> with </w:t>
      </w:r>
      <w:proofErr w:type="spellStart"/>
      <w:r w:rsidR="00454882">
        <w:t>Juris</w:t>
      </w:r>
      <w:proofErr w:type="spellEnd"/>
      <w:r w:rsidR="00454882">
        <w:t xml:space="preserve"> Partnership and other related parties to design, construct and finance the Project and provide ongoing maintenance and soft facilit</w:t>
      </w:r>
      <w:r w:rsidR="001470EF">
        <w:t>ies management services over a 25-year term</w:t>
      </w:r>
      <w:r w:rsidR="00454882">
        <w:t>.</w:t>
      </w:r>
    </w:p>
    <w:p w:rsidR="005F30EF" w:rsidRDefault="00454882" w:rsidP="001470EF">
      <w:r>
        <w:t>In accordance with Government policy, the executed Project Agreement and associated documents are publicly disclosed and ava</w:t>
      </w:r>
      <w:r w:rsidR="001470EF">
        <w:t xml:space="preserve">ilable via </w:t>
      </w:r>
      <w:hyperlink r:id="rId34" w:history="1">
        <w:r w:rsidR="001470EF" w:rsidRPr="00EF7C67">
          <w:rPr>
            <w:rStyle w:val="Hyperlink"/>
          </w:rPr>
          <w:t>www.procurement.act.gov.au/contracts</w:t>
        </w:r>
      </w:hyperlink>
      <w:r w:rsidR="001470EF">
        <w:t xml:space="preserve">. </w:t>
      </w:r>
      <w:bookmarkStart w:id="41" w:name="_Toc445867805"/>
    </w:p>
    <w:p w:rsidR="00811689" w:rsidRDefault="00454882">
      <w:pPr>
        <w:pStyle w:val="Heading2"/>
      </w:pPr>
      <w:bookmarkStart w:id="42" w:name="_Toc453768993"/>
      <w:r w:rsidRPr="005F30EF">
        <w:t>Parties to the Project Agreement and Documents</w:t>
      </w:r>
      <w:bookmarkEnd w:id="41"/>
      <w:bookmarkEnd w:id="42"/>
    </w:p>
    <w:p w:rsidR="00454882" w:rsidRDefault="00454882" w:rsidP="00454882">
      <w:r>
        <w:t>The relevant parties under the contractual arrangements are:</w:t>
      </w:r>
    </w:p>
    <w:p w:rsidR="00454882" w:rsidRPr="00FB29FB" w:rsidRDefault="00454882" w:rsidP="00454882">
      <w:pPr>
        <w:pStyle w:val="ListBullet"/>
      </w:pPr>
      <w:r w:rsidRPr="00C52C46">
        <w:rPr>
          <w:b/>
        </w:rPr>
        <w:t>The Territory:</w:t>
      </w:r>
      <w:r w:rsidRPr="00FB29FB">
        <w:t xml:space="preserve"> The Territory is a signatory to the Project Agreement and other ancillary </w:t>
      </w:r>
      <w:r w:rsidR="005B4AD6">
        <w:t xml:space="preserve">Territory </w:t>
      </w:r>
      <w:r w:rsidRPr="00FB29FB">
        <w:t xml:space="preserve">Project </w:t>
      </w:r>
      <w:r w:rsidR="005B4AD6">
        <w:t>D</w:t>
      </w:r>
      <w:r w:rsidRPr="00FB29FB">
        <w:t xml:space="preserve">ocuments. The </w:t>
      </w:r>
      <w:r w:rsidR="00C52C46">
        <w:t>Under Treasurer</w:t>
      </w:r>
      <w:r w:rsidRPr="00FB29FB">
        <w:t xml:space="preserve"> is the person empowered to execute these contracts on behalf of the Territory.</w:t>
      </w:r>
    </w:p>
    <w:p w:rsidR="00454882" w:rsidRPr="00FB29FB" w:rsidRDefault="00454882" w:rsidP="00454882">
      <w:pPr>
        <w:pStyle w:val="ListBullet"/>
      </w:pPr>
      <w:proofErr w:type="spellStart"/>
      <w:r w:rsidRPr="004877DC">
        <w:rPr>
          <w:rFonts w:hint="eastAsia"/>
          <w:b/>
        </w:rPr>
        <w:t>J</w:t>
      </w:r>
      <w:r w:rsidRPr="004877DC">
        <w:rPr>
          <w:b/>
        </w:rPr>
        <w:t>uris</w:t>
      </w:r>
      <w:proofErr w:type="spellEnd"/>
      <w:r w:rsidRPr="004877DC">
        <w:rPr>
          <w:b/>
        </w:rPr>
        <w:t xml:space="preserve"> Partnership:</w:t>
      </w:r>
      <w:r w:rsidRPr="00FB29FB">
        <w:t xml:space="preserve"> </w:t>
      </w:r>
      <w:proofErr w:type="spellStart"/>
      <w:r w:rsidRPr="00FB29FB">
        <w:t>Juris</w:t>
      </w:r>
      <w:proofErr w:type="spellEnd"/>
      <w:r w:rsidRPr="00FB29FB">
        <w:t xml:space="preserve"> Partnership </w:t>
      </w:r>
      <w:r w:rsidR="004877DC" w:rsidRPr="004877DC">
        <w:t xml:space="preserve">MCHPL Project Co </w:t>
      </w:r>
      <w:r w:rsidRPr="004877DC">
        <w:t xml:space="preserve">Pty Ltd in its personal capacity and as trustee for </w:t>
      </w:r>
      <w:proofErr w:type="spellStart"/>
      <w:r w:rsidRPr="004877DC">
        <w:t>Juris</w:t>
      </w:r>
      <w:proofErr w:type="spellEnd"/>
      <w:r w:rsidRPr="004877DC">
        <w:t xml:space="preserve"> Partnership </w:t>
      </w:r>
      <w:r w:rsidR="004877DC" w:rsidRPr="004877DC">
        <w:t>MCHPL Project Trust</w:t>
      </w:r>
      <w:r w:rsidRPr="004877DC">
        <w:t xml:space="preserve"> and </w:t>
      </w:r>
      <w:proofErr w:type="spellStart"/>
      <w:r w:rsidR="004877DC" w:rsidRPr="004877DC">
        <w:t>Juris</w:t>
      </w:r>
      <w:proofErr w:type="spellEnd"/>
      <w:r w:rsidR="004877DC" w:rsidRPr="004877DC">
        <w:t xml:space="preserve"> Partnership LOR Project Co Pty Ltd in its personal capacity and as trustee for </w:t>
      </w:r>
      <w:proofErr w:type="spellStart"/>
      <w:r w:rsidR="004877DC" w:rsidRPr="004877DC">
        <w:t>Juris</w:t>
      </w:r>
      <w:proofErr w:type="spellEnd"/>
      <w:r w:rsidR="004877DC" w:rsidRPr="004877DC">
        <w:t xml:space="preserve"> Partnership LOR Project Trust</w:t>
      </w:r>
      <w:r w:rsidR="004877DC">
        <w:t xml:space="preserve"> </w:t>
      </w:r>
      <w:proofErr w:type="gramStart"/>
      <w:r w:rsidRPr="00FB29FB">
        <w:t>are</w:t>
      </w:r>
      <w:proofErr w:type="gramEnd"/>
      <w:r w:rsidRPr="00FB29FB">
        <w:t xml:space="preserve"> the organisations that have been contracted to deliver the Project</w:t>
      </w:r>
      <w:r w:rsidR="004877DC">
        <w:t xml:space="preserve"> as </w:t>
      </w:r>
      <w:proofErr w:type="spellStart"/>
      <w:r w:rsidR="004877DC">
        <w:t>Juris</w:t>
      </w:r>
      <w:proofErr w:type="spellEnd"/>
      <w:r w:rsidR="004877DC">
        <w:t xml:space="preserve"> Partnership</w:t>
      </w:r>
      <w:r w:rsidRPr="00FB29FB">
        <w:t xml:space="preserve">. </w:t>
      </w:r>
      <w:proofErr w:type="spellStart"/>
      <w:r w:rsidRPr="00FB29FB">
        <w:t>Juris</w:t>
      </w:r>
      <w:proofErr w:type="spellEnd"/>
      <w:r w:rsidRPr="00FB29FB">
        <w:t xml:space="preserve"> Partnership is the main contracting entity with the Territory. </w:t>
      </w:r>
      <w:proofErr w:type="spellStart"/>
      <w:r w:rsidRPr="00FB29FB">
        <w:t>Juris</w:t>
      </w:r>
      <w:proofErr w:type="spellEnd"/>
      <w:r w:rsidRPr="00FB29FB">
        <w:t xml:space="preserve"> Partnership, in turn, has entered into a range of contractual relationships with its consortium partners to deliver elements of the Project. Notwithstanding this, </w:t>
      </w:r>
      <w:proofErr w:type="spellStart"/>
      <w:r w:rsidRPr="00FB29FB">
        <w:t>Juris</w:t>
      </w:r>
      <w:proofErr w:type="spellEnd"/>
      <w:r w:rsidRPr="00FB29FB">
        <w:t xml:space="preserve"> Partnership will be the organisation ultimately responsible for the delivery of the Project and wi</w:t>
      </w:r>
      <w:r>
        <w:t>ll, among other things, provide overarching management for</w:t>
      </w:r>
      <w:r w:rsidRPr="00FB29FB">
        <w:t xml:space="preserve"> the duration of the Project.</w:t>
      </w:r>
    </w:p>
    <w:p w:rsidR="00454882" w:rsidRPr="00FB29FB" w:rsidRDefault="00454882" w:rsidP="00454882">
      <w:pPr>
        <w:pStyle w:val="ListBullet"/>
      </w:pPr>
      <w:r w:rsidRPr="00C52C46">
        <w:rPr>
          <w:b/>
        </w:rPr>
        <w:t>Equity Providers:</w:t>
      </w:r>
      <w:r w:rsidRPr="00FB29FB">
        <w:t xml:space="preserve"> </w:t>
      </w:r>
      <w:r w:rsidR="004877DC">
        <w:t>Macquarie</w:t>
      </w:r>
      <w:r w:rsidR="00A1282C">
        <w:t xml:space="preserve"> Corporate Holdings Pty Ltd</w:t>
      </w:r>
      <w:r w:rsidRPr="00FB29FB">
        <w:t xml:space="preserve"> </w:t>
      </w:r>
      <w:r w:rsidR="007B6C2F">
        <w:t xml:space="preserve">(Macquarie) </w:t>
      </w:r>
      <w:r w:rsidRPr="00FB29FB">
        <w:t xml:space="preserve">and </w:t>
      </w:r>
      <w:r w:rsidR="00A1282C">
        <w:t>Laing O’Rourke Corporation Limited</w:t>
      </w:r>
      <w:r>
        <w:t xml:space="preserve"> </w:t>
      </w:r>
      <w:r w:rsidR="007B6C2F">
        <w:t xml:space="preserve">(Laing O’Rourke) </w:t>
      </w:r>
      <w:r w:rsidRPr="00FB29FB">
        <w:t xml:space="preserve">have jointly committed to provide the total equity </w:t>
      </w:r>
      <w:r w:rsidR="005B4AD6">
        <w:t>commitment</w:t>
      </w:r>
      <w:r w:rsidR="005B4AD6" w:rsidRPr="00FB29FB">
        <w:t xml:space="preserve"> </w:t>
      </w:r>
      <w:r w:rsidRPr="00FB29FB">
        <w:t xml:space="preserve">by </w:t>
      </w:r>
      <w:proofErr w:type="spellStart"/>
      <w:r w:rsidRPr="00FB29FB">
        <w:t>Juris</w:t>
      </w:r>
      <w:proofErr w:type="spellEnd"/>
      <w:r w:rsidRPr="00FB29FB">
        <w:t xml:space="preserve"> Partnership.</w:t>
      </w:r>
    </w:p>
    <w:p w:rsidR="00454882" w:rsidRPr="00FB29FB" w:rsidRDefault="00454882" w:rsidP="00454882">
      <w:pPr>
        <w:pStyle w:val="ListBullet"/>
      </w:pPr>
      <w:r w:rsidRPr="00C52C46">
        <w:rPr>
          <w:b/>
        </w:rPr>
        <w:t xml:space="preserve">Financiers: </w:t>
      </w:r>
      <w:r w:rsidR="00A1282C">
        <w:t>Macquarie</w:t>
      </w:r>
      <w:r>
        <w:t xml:space="preserve"> </w:t>
      </w:r>
      <w:r w:rsidR="005B4AD6" w:rsidRPr="005B4AD6">
        <w:t xml:space="preserve">Corporate Holdings Pty Ltd </w:t>
      </w:r>
      <w:r>
        <w:t>and</w:t>
      </w:r>
      <w:r w:rsidR="00575D3D">
        <w:t xml:space="preserve"> </w:t>
      </w:r>
      <w:r w:rsidR="00575D3D" w:rsidRPr="00575D3D">
        <w:t xml:space="preserve">Sumitomo Mitsui Banking </w:t>
      </w:r>
      <w:r w:rsidR="00575D3D">
        <w:t>Corporation</w:t>
      </w:r>
      <w:r>
        <w:t xml:space="preserve"> </w:t>
      </w:r>
      <w:r w:rsidR="00575D3D">
        <w:t>(</w:t>
      </w:r>
      <w:r>
        <w:t>SMBC</w:t>
      </w:r>
      <w:r w:rsidR="00575D3D">
        <w:t>)</w:t>
      </w:r>
      <w:r>
        <w:t xml:space="preserve"> </w:t>
      </w:r>
      <w:r w:rsidRPr="00FB29FB">
        <w:t xml:space="preserve">are the senior lenders providing the total debt </w:t>
      </w:r>
      <w:r w:rsidR="007B6C2F">
        <w:t>commitment</w:t>
      </w:r>
      <w:r w:rsidR="005B4AD6" w:rsidRPr="00FB29FB">
        <w:t xml:space="preserve"> </w:t>
      </w:r>
      <w:r w:rsidRPr="00FB29FB">
        <w:t xml:space="preserve">by </w:t>
      </w:r>
      <w:proofErr w:type="spellStart"/>
      <w:r w:rsidRPr="00FB29FB">
        <w:t>Juris</w:t>
      </w:r>
      <w:proofErr w:type="spellEnd"/>
      <w:r w:rsidRPr="00FB29FB">
        <w:t xml:space="preserve"> Partnership. The senior debt is drawn progressively from Financial Close</w:t>
      </w:r>
      <w:r w:rsidR="005B4AD6">
        <w:t xml:space="preserve"> during the D&amp;C Phase</w:t>
      </w:r>
      <w:r w:rsidRPr="00FB29FB">
        <w:t>.</w:t>
      </w:r>
    </w:p>
    <w:p w:rsidR="00454882" w:rsidRPr="00FB29FB" w:rsidRDefault="00D47287" w:rsidP="00454882">
      <w:pPr>
        <w:pStyle w:val="ListBullet"/>
      </w:pPr>
      <w:r>
        <w:rPr>
          <w:b/>
        </w:rPr>
        <w:t>D&amp;C Subcontractor</w:t>
      </w:r>
      <w:r w:rsidR="00454882" w:rsidRPr="00C52C46">
        <w:rPr>
          <w:b/>
        </w:rPr>
        <w:t>:</w:t>
      </w:r>
      <w:r w:rsidR="00454882" w:rsidRPr="00FB29FB">
        <w:t xml:space="preserve"> </w:t>
      </w:r>
      <w:proofErr w:type="spellStart"/>
      <w:r w:rsidR="00454882" w:rsidRPr="00FB29FB">
        <w:t>Juris</w:t>
      </w:r>
      <w:proofErr w:type="spellEnd"/>
      <w:r w:rsidR="00454882" w:rsidRPr="00FB29FB">
        <w:t xml:space="preserve"> Partnership has engaged </w:t>
      </w:r>
      <w:r w:rsidR="00454882">
        <w:t>Laing O’Rourke</w:t>
      </w:r>
      <w:r w:rsidR="00454882" w:rsidRPr="00FB29FB">
        <w:t xml:space="preserve"> Au</w:t>
      </w:r>
      <w:r w:rsidR="00454882">
        <w:t xml:space="preserve">stralia </w:t>
      </w:r>
      <w:r w:rsidR="007B6C2F">
        <w:t xml:space="preserve">Construction </w:t>
      </w:r>
      <w:r w:rsidR="00454882">
        <w:t>Pty Limited (LORA</w:t>
      </w:r>
      <w:r w:rsidR="007B6C2F">
        <w:t>C</w:t>
      </w:r>
      <w:r w:rsidR="00454882" w:rsidRPr="00FB29FB">
        <w:t xml:space="preserve">) to undertake the design and construction </w:t>
      </w:r>
      <w:r w:rsidR="00454882">
        <w:t>for</w:t>
      </w:r>
      <w:r w:rsidR="00454882" w:rsidRPr="00FB29FB">
        <w:t xml:space="preserve"> the </w:t>
      </w:r>
      <w:r w:rsidR="00454882">
        <w:t>Courts Facility</w:t>
      </w:r>
      <w:r w:rsidR="00454882" w:rsidRPr="00FB29FB">
        <w:t>.</w:t>
      </w:r>
    </w:p>
    <w:p w:rsidR="00454882" w:rsidRPr="00FB29FB" w:rsidRDefault="00D47287" w:rsidP="00454882">
      <w:pPr>
        <w:pStyle w:val="ListBullet"/>
      </w:pPr>
      <w:r>
        <w:rPr>
          <w:b/>
        </w:rPr>
        <w:lastRenderedPageBreak/>
        <w:t>Services</w:t>
      </w:r>
      <w:r w:rsidR="00454882" w:rsidRPr="00C52C46">
        <w:rPr>
          <w:b/>
        </w:rPr>
        <w:t xml:space="preserve"> Subcontractor:</w:t>
      </w:r>
      <w:r w:rsidR="00454882" w:rsidRPr="00FB29FB">
        <w:t xml:space="preserve"> </w:t>
      </w:r>
      <w:proofErr w:type="spellStart"/>
      <w:r w:rsidR="00454882" w:rsidRPr="00FB29FB">
        <w:t>Juris</w:t>
      </w:r>
      <w:proofErr w:type="spellEnd"/>
      <w:r w:rsidR="00454882" w:rsidRPr="00FB29FB">
        <w:t xml:space="preserve"> Partnership</w:t>
      </w:r>
      <w:r w:rsidR="00454882">
        <w:t xml:space="preserve"> has engaged Programmed Facilit</w:t>
      </w:r>
      <w:r w:rsidR="005B4AD6">
        <w:t>y</w:t>
      </w:r>
      <w:r w:rsidR="00454882">
        <w:t xml:space="preserve"> Management Pty Ltd (PFM</w:t>
      </w:r>
      <w:r w:rsidR="00454882" w:rsidRPr="00FB29FB">
        <w:t>) to deliver hard and soft facilities management services.</w:t>
      </w:r>
    </w:p>
    <w:p w:rsidR="00454882" w:rsidRPr="00FB29FB" w:rsidRDefault="00454882" w:rsidP="00454882">
      <w:pPr>
        <w:pStyle w:val="Heading4"/>
      </w:pPr>
      <w:r w:rsidRPr="00FB29FB">
        <w:t>Project contractual relationships</w:t>
      </w:r>
    </w:p>
    <w:p w:rsidR="00454882" w:rsidRPr="00FB29FB" w:rsidRDefault="00454882" w:rsidP="00454882">
      <w:r w:rsidRPr="00FB29FB">
        <w:t xml:space="preserve">The relationship between the Territory, </w:t>
      </w:r>
      <w:proofErr w:type="spellStart"/>
      <w:r w:rsidRPr="00FB29FB">
        <w:t>Juris</w:t>
      </w:r>
      <w:proofErr w:type="spellEnd"/>
      <w:r w:rsidRPr="00FB29FB">
        <w:t xml:space="preserve"> Partnership and other related parties is detailed in the Project Agreement and associated contracts. The structure and principal agreements required for the delivery of the Project are outlined in </w:t>
      </w:r>
      <w:r w:rsidR="00016AC7">
        <w:fldChar w:fldCharType="begin" w:fldLock="1"/>
      </w:r>
      <w:r>
        <w:instrText xml:space="preserve"> REF _Ref445813161 \h </w:instrText>
      </w:r>
      <w:r w:rsidR="00016AC7">
        <w:fldChar w:fldCharType="separate"/>
      </w:r>
      <w:r w:rsidR="0067732C">
        <w:t xml:space="preserve">Figure </w:t>
      </w:r>
      <w:r w:rsidR="0067732C">
        <w:rPr>
          <w:noProof/>
        </w:rPr>
        <w:t>7</w:t>
      </w:r>
      <w:r w:rsidR="00016AC7">
        <w:fldChar w:fldCharType="end"/>
      </w:r>
      <w:r>
        <w:t xml:space="preserve"> </w:t>
      </w:r>
      <w:r w:rsidRPr="00FB29FB">
        <w:t>below.</w:t>
      </w:r>
    </w:p>
    <w:p w:rsidR="00454882" w:rsidRDefault="00454882" w:rsidP="00454882">
      <w:pPr>
        <w:pStyle w:val="Caption"/>
      </w:pPr>
      <w:bookmarkStart w:id="43" w:name="_Ref445813161"/>
      <w:bookmarkStart w:id="44" w:name="_Ref445813155"/>
      <w:r>
        <w:t xml:space="preserve">Figure </w:t>
      </w:r>
      <w:r w:rsidR="00016AC7">
        <w:fldChar w:fldCharType="begin"/>
      </w:r>
      <w:r>
        <w:instrText xml:space="preserve"> SEQ Figure \* ARABIC </w:instrText>
      </w:r>
      <w:r w:rsidR="00016AC7">
        <w:fldChar w:fldCharType="separate"/>
      </w:r>
      <w:r w:rsidR="00F55362">
        <w:rPr>
          <w:noProof/>
        </w:rPr>
        <w:t>8</w:t>
      </w:r>
      <w:r w:rsidR="00016AC7">
        <w:fldChar w:fldCharType="end"/>
      </w:r>
      <w:bookmarkEnd w:id="43"/>
      <w:r>
        <w:t>: Contractual relationships under the Project Agreement</w:t>
      </w:r>
      <w:bookmarkEnd w:id="44"/>
    </w:p>
    <w:p w:rsidR="0031758D" w:rsidRDefault="007B6C2F" w:rsidP="00454882">
      <w:r w:rsidRPr="007B6C2F">
        <w:rPr>
          <w:noProof/>
          <w:lang w:eastAsia="en-AU"/>
        </w:rPr>
        <w:drawing>
          <wp:inline distT="0" distB="0" distL="0" distR="0">
            <wp:extent cx="5507990" cy="2796052"/>
            <wp:effectExtent l="0" t="0" r="0" b="0"/>
            <wp:docPr id="8" name="Picture 1" descr="Contractual relationships under the Project Agre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507990" cy="2796052"/>
                    </a:xfrm>
                    <a:prstGeom prst="rect">
                      <a:avLst/>
                    </a:prstGeom>
                    <a:noFill/>
                    <a:ln w="9525">
                      <a:noFill/>
                      <a:miter lim="800000"/>
                      <a:headEnd/>
                      <a:tailEnd/>
                    </a:ln>
                  </pic:spPr>
                </pic:pic>
              </a:graphicData>
            </a:graphic>
          </wp:inline>
        </w:drawing>
      </w:r>
    </w:p>
    <w:p w:rsidR="00454882" w:rsidRDefault="00454882" w:rsidP="00453384">
      <w:pPr>
        <w:pStyle w:val="Caption"/>
        <w:ind w:left="567" w:hanging="567"/>
      </w:pPr>
      <w:r>
        <w:t xml:space="preserve">Note: </w:t>
      </w:r>
      <w:r w:rsidR="00453384">
        <w:tab/>
      </w:r>
      <w:r>
        <w:t xml:space="preserve">The relevant Parent Guarantors are also parties to the </w:t>
      </w:r>
      <w:r w:rsidR="00575D3D">
        <w:t xml:space="preserve">D&amp;C </w:t>
      </w:r>
      <w:r>
        <w:t xml:space="preserve">Direct Deed and </w:t>
      </w:r>
      <w:r w:rsidR="00575D3D">
        <w:t>Services</w:t>
      </w:r>
      <w:r>
        <w:t xml:space="preserve"> Subcontractor Direct Deed</w:t>
      </w:r>
    </w:p>
    <w:p w:rsidR="00454882" w:rsidRDefault="00454882" w:rsidP="00454882">
      <w:pPr>
        <w:pStyle w:val="Heading2"/>
      </w:pPr>
      <w:bookmarkStart w:id="45" w:name="_Toc445867806"/>
      <w:bookmarkStart w:id="46" w:name="_Toc453768994"/>
      <w:r>
        <w:t>Risk Transfer</w:t>
      </w:r>
      <w:bookmarkEnd w:id="45"/>
      <w:bookmarkEnd w:id="46"/>
    </w:p>
    <w:p w:rsidR="00454882" w:rsidRDefault="00454882" w:rsidP="00454882">
      <w:r>
        <w:t xml:space="preserve">The risk allocation in the Project Agreement is consistent with </w:t>
      </w:r>
      <w:r w:rsidR="006D2673" w:rsidRPr="006D2673">
        <w:rPr>
          <w:i/>
        </w:rPr>
        <w:t>The Partnerships Framework</w:t>
      </w:r>
      <w:r w:rsidR="00C97FE6">
        <w:t xml:space="preserve"> under which </w:t>
      </w:r>
      <w:r>
        <w:t>the Territory seeks to achieve best value for money by allocating risks to the party best able to manage them. This process results in various risks being:</w:t>
      </w:r>
    </w:p>
    <w:p w:rsidR="00454882" w:rsidRDefault="00454882" w:rsidP="00454882">
      <w:pPr>
        <w:pStyle w:val="ListBullet"/>
      </w:pPr>
      <w:r>
        <w:t>retained by the Territory</w:t>
      </w:r>
    </w:p>
    <w:p w:rsidR="00454882" w:rsidRDefault="00454882" w:rsidP="00454882">
      <w:pPr>
        <w:pStyle w:val="ListBullet"/>
      </w:pPr>
      <w:r>
        <w:t>transferred to the private sector, and/or</w:t>
      </w:r>
    </w:p>
    <w:p w:rsidR="00454882" w:rsidRDefault="00454882" w:rsidP="00454882">
      <w:pPr>
        <w:pStyle w:val="ListBullet"/>
      </w:pPr>
      <w:proofErr w:type="gramStart"/>
      <w:r>
        <w:t>shared</w:t>
      </w:r>
      <w:proofErr w:type="gramEnd"/>
      <w:r>
        <w:t xml:space="preserve"> between the parties.</w:t>
      </w:r>
    </w:p>
    <w:p w:rsidR="00454882" w:rsidRDefault="00454882" w:rsidP="00454882">
      <w:r>
        <w:t>The Project Agreement and associated documents establish the obligations of each party in managing these risks.</w:t>
      </w:r>
    </w:p>
    <w:p w:rsidR="00454882" w:rsidRDefault="00016AC7" w:rsidP="00454882">
      <w:r>
        <w:fldChar w:fldCharType="begin" w:fldLock="1"/>
      </w:r>
      <w:r w:rsidR="00C97FE6">
        <w:instrText xml:space="preserve"> REF _Ref446414695 \h </w:instrText>
      </w:r>
      <w:r>
        <w:fldChar w:fldCharType="separate"/>
      </w:r>
      <w:r w:rsidR="0067732C">
        <w:t xml:space="preserve">Table </w:t>
      </w:r>
      <w:r w:rsidR="0067732C">
        <w:rPr>
          <w:noProof/>
        </w:rPr>
        <w:t>5</w:t>
      </w:r>
      <w:r>
        <w:fldChar w:fldCharType="end"/>
      </w:r>
      <w:r w:rsidR="00454882">
        <w:t xml:space="preserve"> provides a high-level outline of the risk allocation for the Project. Where a risk is allocated to both parties, the parties may not share that allocation equally. All risks are dealt with in detail in the Project Agreement and associated Project </w:t>
      </w:r>
      <w:r w:rsidR="005B4AD6">
        <w:t>D</w:t>
      </w:r>
      <w:r w:rsidR="00454882">
        <w:t>ocuments.</w:t>
      </w:r>
    </w:p>
    <w:p w:rsidR="00811689" w:rsidRDefault="00454882">
      <w:pPr>
        <w:pStyle w:val="Caption"/>
        <w:keepNext/>
      </w:pPr>
      <w:bookmarkStart w:id="47" w:name="_Ref446414695"/>
      <w:r>
        <w:lastRenderedPageBreak/>
        <w:t xml:space="preserve">Table </w:t>
      </w:r>
      <w:r w:rsidR="00016AC7">
        <w:fldChar w:fldCharType="begin"/>
      </w:r>
      <w:r>
        <w:instrText xml:space="preserve"> SEQ Table \* ARABIC </w:instrText>
      </w:r>
      <w:r w:rsidR="00016AC7">
        <w:fldChar w:fldCharType="separate"/>
      </w:r>
      <w:r w:rsidR="00F55362">
        <w:rPr>
          <w:noProof/>
        </w:rPr>
        <w:t>6</w:t>
      </w:r>
      <w:r w:rsidR="00016AC7">
        <w:fldChar w:fldCharType="end"/>
      </w:r>
      <w:bookmarkEnd w:id="47"/>
      <w:r>
        <w:t>: Project risk allocation</w:t>
      </w:r>
    </w:p>
    <w:tbl>
      <w:tblPr>
        <w:tblStyle w:val="TableGrid"/>
        <w:tblW w:w="5000" w:type="pct"/>
        <w:tblLook w:val="04A0"/>
      </w:tblPr>
      <w:tblGrid>
        <w:gridCol w:w="2515"/>
        <w:gridCol w:w="3439"/>
        <w:gridCol w:w="1447"/>
        <w:gridCol w:w="1283"/>
      </w:tblGrid>
      <w:tr w:rsidR="00454882" w:rsidRPr="00453384" w:rsidTr="0034798B">
        <w:trPr>
          <w:cnfStyle w:val="100000000000"/>
          <w:cantSplit/>
          <w:tblHeader/>
        </w:trPr>
        <w:tc>
          <w:tcPr>
            <w:tcW w:w="1448" w:type="pct"/>
            <w:tcBorders>
              <w:bottom w:val="single" w:sz="4" w:space="0" w:color="0051BA" w:themeColor="accent1"/>
            </w:tcBorders>
          </w:tcPr>
          <w:p w:rsidR="00811689" w:rsidRPr="00453384" w:rsidRDefault="00454882" w:rsidP="00453384">
            <w:pPr>
              <w:spacing w:before="96" w:after="96"/>
            </w:pPr>
            <w:r w:rsidRPr="00453384">
              <w:t>Risk Category</w:t>
            </w:r>
          </w:p>
        </w:tc>
        <w:tc>
          <w:tcPr>
            <w:tcW w:w="1980" w:type="pct"/>
            <w:tcBorders>
              <w:bottom w:val="single" w:sz="4" w:space="0" w:color="0051BA" w:themeColor="accent1"/>
            </w:tcBorders>
          </w:tcPr>
          <w:p w:rsidR="00811689" w:rsidRPr="00453384" w:rsidRDefault="00454882" w:rsidP="00453384">
            <w:pPr>
              <w:spacing w:before="96" w:after="96"/>
            </w:pPr>
            <w:r w:rsidRPr="00453384">
              <w:t>Description</w:t>
            </w:r>
          </w:p>
        </w:tc>
        <w:tc>
          <w:tcPr>
            <w:tcW w:w="833" w:type="pct"/>
            <w:tcBorders>
              <w:bottom w:val="single" w:sz="4" w:space="0" w:color="0051BA" w:themeColor="accent1"/>
            </w:tcBorders>
          </w:tcPr>
          <w:p w:rsidR="00811689" w:rsidRPr="00453384" w:rsidRDefault="00454882" w:rsidP="0031758D">
            <w:pPr>
              <w:spacing w:before="96" w:after="96"/>
              <w:jc w:val="center"/>
            </w:pPr>
            <w:r w:rsidRPr="00453384">
              <w:t>Territory</w:t>
            </w:r>
          </w:p>
        </w:tc>
        <w:tc>
          <w:tcPr>
            <w:tcW w:w="739" w:type="pct"/>
            <w:tcBorders>
              <w:bottom w:val="single" w:sz="4" w:space="0" w:color="0051BA" w:themeColor="accent1"/>
            </w:tcBorders>
          </w:tcPr>
          <w:p w:rsidR="00811689" w:rsidRPr="00453384" w:rsidRDefault="0031758D" w:rsidP="0031758D">
            <w:pPr>
              <w:spacing w:before="96" w:after="96"/>
              <w:jc w:val="center"/>
            </w:pPr>
            <w:r>
              <w:t>Project Co</w:t>
            </w:r>
          </w:p>
        </w:tc>
      </w:tr>
      <w:tr w:rsidR="0034798B" w:rsidRPr="00453384" w:rsidTr="0034798B">
        <w:trPr>
          <w:cantSplit/>
        </w:trPr>
        <w:tc>
          <w:tcPr>
            <w:tcW w:w="1448" w:type="pct"/>
            <w:tcBorders>
              <w:right w:val="nil"/>
            </w:tcBorders>
            <w:shd w:val="clear" w:color="auto" w:fill="BEDAFF" w:themeFill="accent1" w:themeFillTint="33"/>
          </w:tcPr>
          <w:p w:rsidR="0034798B" w:rsidRPr="00453384" w:rsidRDefault="0034798B" w:rsidP="00453384">
            <w:r w:rsidRPr="00453384">
              <w:t>Planning Risk</w:t>
            </w:r>
          </w:p>
        </w:tc>
        <w:tc>
          <w:tcPr>
            <w:tcW w:w="1980" w:type="pct"/>
            <w:tcBorders>
              <w:left w:val="nil"/>
              <w:right w:val="nil"/>
            </w:tcBorders>
            <w:shd w:val="clear" w:color="auto" w:fill="BEDAFF" w:themeFill="accent1" w:themeFillTint="33"/>
          </w:tcPr>
          <w:p w:rsidR="0034798B" w:rsidRPr="00453384" w:rsidRDefault="0034798B" w:rsidP="00453384"/>
        </w:tc>
        <w:tc>
          <w:tcPr>
            <w:tcW w:w="833" w:type="pct"/>
            <w:tcBorders>
              <w:left w:val="nil"/>
              <w:right w:val="nil"/>
            </w:tcBorders>
            <w:shd w:val="clear" w:color="auto" w:fill="BEDAFF" w:themeFill="accent1" w:themeFillTint="33"/>
          </w:tcPr>
          <w:p w:rsidR="0034798B" w:rsidRPr="00453384" w:rsidRDefault="0034798B" w:rsidP="00453384"/>
        </w:tc>
        <w:tc>
          <w:tcPr>
            <w:tcW w:w="739" w:type="pct"/>
            <w:tcBorders>
              <w:left w:val="nil"/>
            </w:tcBorders>
            <w:shd w:val="clear" w:color="auto" w:fill="BEDAFF" w:themeFill="accent1" w:themeFillTint="33"/>
          </w:tcPr>
          <w:p w:rsidR="0034798B" w:rsidRPr="00453384" w:rsidRDefault="0034798B" w:rsidP="00453384"/>
        </w:tc>
      </w:tr>
      <w:tr w:rsidR="00454882" w:rsidTr="0034798B">
        <w:trPr>
          <w:cantSplit/>
        </w:trPr>
        <w:tc>
          <w:tcPr>
            <w:tcW w:w="1448" w:type="pct"/>
            <w:tcBorders>
              <w:bottom w:val="single" w:sz="4" w:space="0" w:color="0051BA" w:themeColor="accent1"/>
            </w:tcBorders>
          </w:tcPr>
          <w:p w:rsidR="00454882" w:rsidRPr="00454882" w:rsidRDefault="00454882" w:rsidP="00454882">
            <w:r>
              <w:t>Obtaining appropriate planning approvals</w:t>
            </w:r>
          </w:p>
        </w:tc>
        <w:tc>
          <w:tcPr>
            <w:tcW w:w="1980" w:type="pct"/>
            <w:tcBorders>
              <w:bottom w:val="single" w:sz="4" w:space="0" w:color="0051BA" w:themeColor="accent1"/>
            </w:tcBorders>
          </w:tcPr>
          <w:p w:rsidR="00454882" w:rsidRPr="00454882" w:rsidRDefault="00454882" w:rsidP="00454882">
            <w:r w:rsidRPr="00454882">
              <w:t xml:space="preserve">Risk </w:t>
            </w:r>
            <w:r>
              <w:t>of obtaining planning and other building approvals</w:t>
            </w:r>
          </w:p>
        </w:tc>
        <w:tc>
          <w:tcPr>
            <w:tcW w:w="833" w:type="pct"/>
            <w:tcBorders>
              <w:bottom w:val="single" w:sz="4" w:space="0" w:color="0051BA" w:themeColor="accent1"/>
            </w:tcBorders>
          </w:tcPr>
          <w:p w:rsidR="00454882" w:rsidRDefault="00454882" w:rsidP="00D47287">
            <w:pPr>
              <w:jc w:val="center"/>
            </w:pPr>
          </w:p>
        </w:tc>
        <w:tc>
          <w:tcPr>
            <w:tcW w:w="739" w:type="pct"/>
            <w:tcBorders>
              <w:bottom w:val="single" w:sz="4" w:space="0" w:color="0051BA" w:themeColor="accent1"/>
            </w:tcBorders>
          </w:tcPr>
          <w:p w:rsidR="00454882" w:rsidRDefault="00454882" w:rsidP="00D47287">
            <w:pPr>
              <w:jc w:val="center"/>
            </w:pPr>
            <w:r>
              <w:sym w:font="Wingdings 2" w:char="F050"/>
            </w:r>
          </w:p>
        </w:tc>
      </w:tr>
      <w:tr w:rsidR="0034798B" w:rsidRPr="005C6533" w:rsidTr="0034798B">
        <w:trPr>
          <w:cantSplit/>
        </w:trPr>
        <w:tc>
          <w:tcPr>
            <w:tcW w:w="1448" w:type="pct"/>
            <w:tcBorders>
              <w:right w:val="nil"/>
            </w:tcBorders>
            <w:shd w:val="clear" w:color="auto" w:fill="BEDAFF" w:themeFill="accent1" w:themeFillTint="33"/>
          </w:tcPr>
          <w:p w:rsidR="0034798B" w:rsidRPr="00454882" w:rsidRDefault="0034798B" w:rsidP="00D47287">
            <w:r w:rsidRPr="00454882">
              <w:t>Site Risks</w:t>
            </w:r>
          </w:p>
        </w:tc>
        <w:tc>
          <w:tcPr>
            <w:tcW w:w="1980" w:type="pct"/>
            <w:tcBorders>
              <w:left w:val="nil"/>
              <w:right w:val="nil"/>
            </w:tcBorders>
            <w:shd w:val="clear" w:color="auto" w:fill="BEDAFF" w:themeFill="accent1" w:themeFillTint="33"/>
          </w:tcPr>
          <w:p w:rsidR="0034798B" w:rsidRPr="00454882" w:rsidRDefault="0034798B" w:rsidP="00D47287"/>
        </w:tc>
        <w:tc>
          <w:tcPr>
            <w:tcW w:w="833" w:type="pct"/>
            <w:tcBorders>
              <w:left w:val="nil"/>
              <w:right w:val="nil"/>
            </w:tcBorders>
            <w:shd w:val="clear" w:color="auto" w:fill="BEDAFF" w:themeFill="accent1" w:themeFillTint="33"/>
          </w:tcPr>
          <w:p w:rsidR="0034798B" w:rsidRPr="00454882" w:rsidRDefault="0034798B" w:rsidP="00D47287"/>
        </w:tc>
        <w:tc>
          <w:tcPr>
            <w:tcW w:w="739" w:type="pct"/>
            <w:tcBorders>
              <w:left w:val="nil"/>
            </w:tcBorders>
            <w:shd w:val="clear" w:color="auto" w:fill="BEDAFF" w:themeFill="accent1" w:themeFillTint="33"/>
          </w:tcPr>
          <w:p w:rsidR="0034798B" w:rsidRPr="00454882" w:rsidRDefault="0034798B" w:rsidP="00D47287"/>
        </w:tc>
      </w:tr>
      <w:tr w:rsidR="00454882" w:rsidTr="00992997">
        <w:trPr>
          <w:cantSplit/>
        </w:trPr>
        <w:tc>
          <w:tcPr>
            <w:tcW w:w="1448" w:type="pct"/>
          </w:tcPr>
          <w:p w:rsidR="00454882" w:rsidRPr="00454882" w:rsidRDefault="00454882" w:rsidP="00454882">
            <w:r w:rsidRPr="009114F4">
              <w:t>Contamination</w:t>
            </w:r>
            <w:r w:rsidR="005F30EF" w:rsidRPr="00454882">
              <w:t xml:space="preserve"> for which Project Co is responsible</w:t>
            </w:r>
          </w:p>
        </w:tc>
        <w:tc>
          <w:tcPr>
            <w:tcW w:w="1980" w:type="pct"/>
          </w:tcPr>
          <w:p w:rsidR="00454882" w:rsidRPr="00454882" w:rsidRDefault="00454882" w:rsidP="00454882">
            <w:r w:rsidRPr="009114F4">
              <w:t>Cost</w:t>
            </w:r>
            <w:r w:rsidRPr="00454882">
              <w:t xml:space="preserve"> relating to the management and removal of known contamination in the Site</w:t>
            </w:r>
            <w:r w:rsidR="005F30EF" w:rsidRPr="00454882">
              <w:t xml:space="preserve"> and removal of contamination caused by the Project Co</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Contamination</w:t>
            </w:r>
            <w:r w:rsidRPr="00454882">
              <w:t xml:space="preserve"> for which Territory responsible</w:t>
            </w:r>
          </w:p>
        </w:tc>
        <w:tc>
          <w:tcPr>
            <w:tcW w:w="1980" w:type="pct"/>
          </w:tcPr>
          <w:p w:rsidR="00454882" w:rsidRPr="00454882" w:rsidRDefault="00454882" w:rsidP="00454882">
            <w:r w:rsidRPr="009114F4">
              <w:t>Cost</w:t>
            </w:r>
            <w:r w:rsidRPr="00454882">
              <w:t xml:space="preserve"> relating to management and removal of contamination caused by the Territory, that migrates onto Site post contract, or that </w:t>
            </w:r>
            <w:r w:rsidR="005B4AD6">
              <w:t xml:space="preserve">the </w:t>
            </w:r>
            <w:r w:rsidRPr="00454882">
              <w:t>Territory requires remediated to higher standard than legally required</w:t>
            </w:r>
          </w:p>
        </w:tc>
        <w:tc>
          <w:tcPr>
            <w:tcW w:w="833" w:type="pct"/>
          </w:tcPr>
          <w:p w:rsidR="00454882" w:rsidRPr="00454882" w:rsidRDefault="00454882" w:rsidP="00D47287">
            <w:pPr>
              <w:jc w:val="center"/>
            </w:pPr>
            <w:r w:rsidRPr="00454882">
              <w:sym w:font="Wingdings 2" w:char="F050"/>
            </w:r>
          </w:p>
        </w:tc>
        <w:tc>
          <w:tcPr>
            <w:tcW w:w="739" w:type="pct"/>
          </w:tcPr>
          <w:p w:rsidR="00454882" w:rsidRDefault="00454882" w:rsidP="00D47287">
            <w:pPr>
              <w:jc w:val="center"/>
            </w:pPr>
          </w:p>
        </w:tc>
      </w:tr>
      <w:tr w:rsidR="00454882" w:rsidTr="00992997">
        <w:trPr>
          <w:cantSplit/>
        </w:trPr>
        <w:tc>
          <w:tcPr>
            <w:tcW w:w="1448" w:type="pct"/>
          </w:tcPr>
          <w:p w:rsidR="00454882" w:rsidRPr="00454882" w:rsidRDefault="00454882" w:rsidP="00454882">
            <w:r w:rsidRPr="009114F4">
              <w:t>Artefacts,</w:t>
            </w:r>
            <w:r w:rsidRPr="00454882">
              <w:t xml:space="preserve"> heritage claim</w:t>
            </w:r>
          </w:p>
        </w:tc>
        <w:tc>
          <w:tcPr>
            <w:tcW w:w="1980" w:type="pct"/>
          </w:tcPr>
          <w:p w:rsidR="00454882" w:rsidRPr="00454882" w:rsidRDefault="00454882" w:rsidP="00454882">
            <w:r w:rsidRPr="009114F4">
              <w:t>Risk</w:t>
            </w:r>
            <w:r w:rsidRPr="00454882">
              <w:t xml:space="preserve"> that the Site has archaeological and cultural heritage value (above or below ground)</w:t>
            </w:r>
          </w:p>
        </w:tc>
        <w:tc>
          <w:tcPr>
            <w:tcW w:w="833" w:type="pct"/>
          </w:tcPr>
          <w:p w:rsidR="00454882" w:rsidRPr="00454882" w:rsidRDefault="00454882" w:rsidP="00D47287">
            <w:pPr>
              <w:jc w:val="center"/>
            </w:pPr>
            <w:r w:rsidRPr="00454882">
              <w:sym w:font="Wingdings 2" w:char="F050"/>
            </w:r>
          </w:p>
        </w:tc>
        <w:tc>
          <w:tcPr>
            <w:tcW w:w="739" w:type="pct"/>
          </w:tcPr>
          <w:p w:rsidR="00454882" w:rsidRPr="00454882" w:rsidRDefault="00454882" w:rsidP="00D47287">
            <w:pPr>
              <w:jc w:val="center"/>
            </w:pPr>
          </w:p>
        </w:tc>
      </w:tr>
      <w:tr w:rsidR="00454882" w:rsidTr="00E569D9">
        <w:trPr>
          <w:cantSplit/>
        </w:trPr>
        <w:tc>
          <w:tcPr>
            <w:tcW w:w="1448" w:type="pct"/>
            <w:tcBorders>
              <w:bottom w:val="single" w:sz="4" w:space="0" w:color="0051BA" w:themeColor="accent1"/>
            </w:tcBorders>
          </w:tcPr>
          <w:p w:rsidR="00454882" w:rsidRPr="00454882" w:rsidRDefault="00016AC7" w:rsidP="00454882">
            <w:r w:rsidRPr="00016AC7">
              <w:rPr>
                <w:noProof/>
                <w:lang w:val="en-US" w:eastAsia="zh-TW"/>
              </w:rPr>
              <w:pict>
                <v:shape id="_x0000_s1039" type="#_x0000_t202" alt="Construction and Commissioning Risks" style="position:absolute;left:0;text-align:left;margin-left:-.15pt;margin-top:20.5pt;width:335.6pt;height:35.4pt;z-index:251695104;mso-height-percent:200;mso-position-horizontal-relative:text;mso-position-vertical-relative:text;mso-height-percent:200;mso-width-relative:margin;mso-height-relative:margin" filled="f" stroked="f">
                  <v:textbox style="mso-next-textbox:#_x0000_s1039;mso-fit-shape-to-text:t">
                    <w:txbxContent>
                      <w:p w:rsidR="00E569D9" w:rsidRDefault="00E569D9">
                        <w:r w:rsidRPr="00454882">
                          <w:t>Construction and Commissioning Risks</w:t>
                        </w:r>
                      </w:p>
                    </w:txbxContent>
                  </v:textbox>
                </v:shape>
              </w:pict>
            </w:r>
            <w:r w:rsidR="00454882" w:rsidRPr="009114F4">
              <w:t>Native Title</w:t>
            </w:r>
          </w:p>
        </w:tc>
        <w:tc>
          <w:tcPr>
            <w:tcW w:w="1980" w:type="pct"/>
            <w:tcBorders>
              <w:bottom w:val="single" w:sz="4" w:space="0" w:color="0051BA" w:themeColor="accent1"/>
            </w:tcBorders>
          </w:tcPr>
          <w:p w:rsidR="00454882" w:rsidRPr="00454882" w:rsidRDefault="00454882" w:rsidP="00E569D9">
            <w:r w:rsidRPr="009114F4">
              <w:t>Risk</w:t>
            </w:r>
            <w:r w:rsidRPr="00454882">
              <w:t xml:space="preserve"> that the Site is the subject of a Native Title claim</w:t>
            </w:r>
            <w:r w:rsidR="0034798B">
              <w:t xml:space="preserve"> </w:t>
            </w:r>
            <w:r w:rsidR="0034798B" w:rsidRPr="00454882">
              <w:t>Design</w:t>
            </w:r>
          </w:p>
        </w:tc>
        <w:tc>
          <w:tcPr>
            <w:tcW w:w="833" w:type="pct"/>
            <w:tcBorders>
              <w:bottom w:val="single" w:sz="4" w:space="0" w:color="0051BA" w:themeColor="accent1"/>
            </w:tcBorders>
          </w:tcPr>
          <w:p w:rsidR="00454882" w:rsidRPr="00454882" w:rsidRDefault="00454882" w:rsidP="00D47287">
            <w:pPr>
              <w:jc w:val="center"/>
            </w:pPr>
            <w:r w:rsidRPr="00454882">
              <w:sym w:font="Wingdings 2" w:char="F050"/>
            </w:r>
          </w:p>
        </w:tc>
        <w:tc>
          <w:tcPr>
            <w:tcW w:w="739" w:type="pct"/>
            <w:tcBorders>
              <w:bottom w:val="single" w:sz="4" w:space="0" w:color="0051BA" w:themeColor="accent1"/>
            </w:tcBorders>
          </w:tcPr>
          <w:p w:rsidR="00454882" w:rsidRDefault="00454882" w:rsidP="00D47287">
            <w:pPr>
              <w:jc w:val="center"/>
            </w:pPr>
          </w:p>
        </w:tc>
      </w:tr>
      <w:tr w:rsidR="0034798B" w:rsidRPr="005C6533" w:rsidTr="00E569D9">
        <w:trPr>
          <w:cantSplit/>
        </w:trPr>
        <w:tc>
          <w:tcPr>
            <w:tcW w:w="1448" w:type="pct"/>
            <w:tcBorders>
              <w:right w:val="nil"/>
            </w:tcBorders>
            <w:shd w:val="clear" w:color="auto" w:fill="BEDAFF" w:themeFill="accent1" w:themeFillTint="33"/>
          </w:tcPr>
          <w:p w:rsidR="0034798B" w:rsidRPr="00454882" w:rsidRDefault="0034798B" w:rsidP="00D47287"/>
        </w:tc>
        <w:tc>
          <w:tcPr>
            <w:tcW w:w="1980" w:type="pct"/>
            <w:tcBorders>
              <w:left w:val="nil"/>
              <w:right w:val="nil"/>
            </w:tcBorders>
            <w:shd w:val="clear" w:color="auto" w:fill="BEDAFF" w:themeFill="accent1" w:themeFillTint="33"/>
          </w:tcPr>
          <w:p w:rsidR="0034798B" w:rsidRPr="00454882" w:rsidRDefault="0034798B" w:rsidP="00D47287"/>
        </w:tc>
        <w:tc>
          <w:tcPr>
            <w:tcW w:w="833" w:type="pct"/>
            <w:tcBorders>
              <w:left w:val="nil"/>
              <w:right w:val="nil"/>
            </w:tcBorders>
            <w:shd w:val="clear" w:color="auto" w:fill="BEDAFF" w:themeFill="accent1" w:themeFillTint="33"/>
          </w:tcPr>
          <w:p w:rsidR="0034798B" w:rsidRPr="00454882" w:rsidRDefault="0034798B" w:rsidP="00D47287"/>
        </w:tc>
        <w:tc>
          <w:tcPr>
            <w:tcW w:w="739" w:type="pct"/>
            <w:tcBorders>
              <w:left w:val="nil"/>
            </w:tcBorders>
            <w:shd w:val="clear" w:color="auto" w:fill="BEDAFF" w:themeFill="accent1" w:themeFillTint="33"/>
          </w:tcPr>
          <w:p w:rsidR="0034798B" w:rsidRPr="00454882" w:rsidRDefault="0034798B" w:rsidP="00D47287"/>
        </w:tc>
      </w:tr>
      <w:tr w:rsidR="00454882" w:rsidTr="00992997">
        <w:trPr>
          <w:cantSplit/>
        </w:trPr>
        <w:tc>
          <w:tcPr>
            <w:tcW w:w="1448" w:type="pct"/>
          </w:tcPr>
          <w:p w:rsidR="00454882" w:rsidRPr="00454882" w:rsidRDefault="00454882" w:rsidP="00454882">
            <w:r w:rsidRPr="009114F4">
              <w:t>Design</w:t>
            </w:r>
            <w:r w:rsidRPr="00454882">
              <w:t xml:space="preserve"> risk</w:t>
            </w:r>
          </w:p>
        </w:tc>
        <w:tc>
          <w:tcPr>
            <w:tcW w:w="1980" w:type="pct"/>
          </w:tcPr>
          <w:p w:rsidR="00454882" w:rsidRPr="00454882" w:rsidRDefault="00454882" w:rsidP="00454882">
            <w:r w:rsidRPr="009114F4">
              <w:t>The</w:t>
            </w:r>
            <w:r w:rsidRPr="00454882">
              <w:t xml:space="preserve"> risk that the design development activities cannot be completed on time and/or to budget and the design does not allow the delivery of the Services to the Services Specification</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Construction</w:t>
            </w:r>
            <w:r w:rsidRPr="00454882">
              <w:t xml:space="preserve"> risk</w:t>
            </w:r>
          </w:p>
        </w:tc>
        <w:tc>
          <w:tcPr>
            <w:tcW w:w="1980" w:type="pct"/>
          </w:tcPr>
          <w:p w:rsidR="00454882" w:rsidRPr="00454882" w:rsidRDefault="00454882" w:rsidP="00454882">
            <w:r w:rsidRPr="009114F4">
              <w:t>The</w:t>
            </w:r>
            <w:r w:rsidRPr="00454882">
              <w:t xml:space="preserve"> risk that construction activities cannot be completed on time and/or to budget</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Defects</w:t>
            </w:r>
            <w:r w:rsidRPr="00454882">
              <w:t xml:space="preserve"> risk</w:t>
            </w:r>
          </w:p>
        </w:tc>
        <w:tc>
          <w:tcPr>
            <w:tcW w:w="1980" w:type="pct"/>
          </w:tcPr>
          <w:p w:rsidR="00454882" w:rsidRPr="00454882" w:rsidRDefault="00454882" w:rsidP="00454882">
            <w:r w:rsidRPr="009114F4">
              <w:t>The</w:t>
            </w:r>
            <w:r w:rsidRPr="00454882">
              <w:t xml:space="preserve"> risk that defects are identified following completion of construction</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Equipment</w:t>
            </w:r>
          </w:p>
        </w:tc>
        <w:tc>
          <w:tcPr>
            <w:tcW w:w="1980" w:type="pct"/>
          </w:tcPr>
          <w:p w:rsidR="00454882" w:rsidRPr="00454882" w:rsidRDefault="00454882" w:rsidP="00454882">
            <w:r w:rsidRPr="009114F4">
              <w:t>Responsibility</w:t>
            </w:r>
            <w:r w:rsidRPr="00454882">
              <w:t xml:space="preserve"> for the selection, procurement and maintenance of equipment</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lastRenderedPageBreak/>
              <w:t>Fit for purpose</w:t>
            </w:r>
            <w:r w:rsidRPr="00454882">
              <w:t xml:space="preserve"> (commissioning)</w:t>
            </w:r>
          </w:p>
        </w:tc>
        <w:tc>
          <w:tcPr>
            <w:tcW w:w="1980" w:type="pct"/>
          </w:tcPr>
          <w:p w:rsidR="00454882" w:rsidRPr="00454882" w:rsidRDefault="00454882" w:rsidP="00454882">
            <w:r w:rsidRPr="009114F4">
              <w:t>Risk</w:t>
            </w:r>
            <w:r w:rsidRPr="00454882">
              <w:t xml:space="preserve"> that the New Facility and Reconditioned Areas are not constructed so as to be fit for purpose or do not comply with contractual obligations</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Modification</w:t>
            </w:r>
          </w:p>
        </w:tc>
        <w:tc>
          <w:tcPr>
            <w:tcW w:w="1980" w:type="pct"/>
          </w:tcPr>
          <w:p w:rsidR="00454882" w:rsidRPr="00454882" w:rsidRDefault="00454882" w:rsidP="00454882">
            <w:r w:rsidRPr="009114F4">
              <w:t>If</w:t>
            </w:r>
            <w:r w:rsidRPr="00454882">
              <w:t xml:space="preserve"> the Territory elects to make a significant variation to the New Facility or the Services to be provided by </w:t>
            </w:r>
            <w:proofErr w:type="spellStart"/>
            <w:r w:rsidRPr="00454882">
              <w:t>Juris</w:t>
            </w:r>
            <w:proofErr w:type="spellEnd"/>
            <w:r w:rsidRPr="00454882">
              <w:t xml:space="preserve"> Partnership</w:t>
            </w:r>
          </w:p>
        </w:tc>
        <w:tc>
          <w:tcPr>
            <w:tcW w:w="833" w:type="pct"/>
          </w:tcPr>
          <w:p w:rsidR="00454882" w:rsidRPr="00454882" w:rsidRDefault="00454882" w:rsidP="00D47287">
            <w:pPr>
              <w:jc w:val="center"/>
            </w:pPr>
            <w:r w:rsidRPr="00454882">
              <w:sym w:font="Wingdings 2" w:char="F050"/>
            </w:r>
          </w:p>
        </w:tc>
        <w:tc>
          <w:tcPr>
            <w:tcW w:w="739" w:type="pct"/>
          </w:tcPr>
          <w:p w:rsidR="00454882" w:rsidRDefault="00454882" w:rsidP="00D47287">
            <w:pPr>
              <w:jc w:val="center"/>
            </w:pPr>
          </w:p>
        </w:tc>
      </w:tr>
      <w:tr w:rsidR="00454882" w:rsidTr="00992997">
        <w:trPr>
          <w:cantSplit/>
        </w:trPr>
        <w:tc>
          <w:tcPr>
            <w:tcW w:w="1448" w:type="pct"/>
          </w:tcPr>
          <w:p w:rsidR="00454882" w:rsidRPr="00454882" w:rsidRDefault="00454882" w:rsidP="00454882">
            <w:r w:rsidRPr="009114F4">
              <w:t>Commissioning</w:t>
            </w:r>
            <w:r w:rsidRPr="00454882">
              <w:t xml:space="preserve"> and Completion</w:t>
            </w:r>
          </w:p>
        </w:tc>
        <w:tc>
          <w:tcPr>
            <w:tcW w:w="1980" w:type="pct"/>
          </w:tcPr>
          <w:p w:rsidR="00454882" w:rsidRPr="00454882" w:rsidRDefault="00454882" w:rsidP="00454882">
            <w:r w:rsidRPr="009114F4">
              <w:t>Risk</w:t>
            </w:r>
            <w:r w:rsidRPr="00454882">
              <w:t xml:space="preserve"> that the New Facility cannot be commissioned in accordance with the agreed commissioning criteria</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E569D9">
        <w:trPr>
          <w:cantSplit/>
        </w:trPr>
        <w:tc>
          <w:tcPr>
            <w:tcW w:w="1448" w:type="pct"/>
            <w:tcBorders>
              <w:bottom w:val="single" w:sz="4" w:space="0" w:color="0051BA" w:themeColor="accent1"/>
            </w:tcBorders>
          </w:tcPr>
          <w:p w:rsidR="00454882" w:rsidRPr="00454882" w:rsidRDefault="00454882" w:rsidP="00454882">
            <w:r>
              <w:t>Energy performance</w:t>
            </w:r>
          </w:p>
        </w:tc>
        <w:tc>
          <w:tcPr>
            <w:tcW w:w="1980" w:type="pct"/>
            <w:tcBorders>
              <w:bottom w:val="single" w:sz="4" w:space="0" w:color="0051BA" w:themeColor="accent1"/>
            </w:tcBorders>
          </w:tcPr>
          <w:p w:rsidR="00454882" w:rsidRPr="00454882" w:rsidRDefault="00454882" w:rsidP="007C4F14">
            <w:r>
              <w:t xml:space="preserve">The risk that the Courts Facility will require greater consumption of energy than predicted </w:t>
            </w:r>
            <w:r w:rsidR="00453384">
              <w:t>in</w:t>
            </w:r>
            <w:r w:rsidR="007C4F14">
              <w:t xml:space="preserve"> </w:t>
            </w:r>
            <w:r>
              <w:t>pre-construction modelling</w:t>
            </w:r>
          </w:p>
        </w:tc>
        <w:tc>
          <w:tcPr>
            <w:tcW w:w="833" w:type="pct"/>
            <w:tcBorders>
              <w:bottom w:val="single" w:sz="4" w:space="0" w:color="0051BA" w:themeColor="accent1"/>
            </w:tcBorders>
          </w:tcPr>
          <w:p w:rsidR="00454882" w:rsidRDefault="00454882" w:rsidP="00D47287">
            <w:pPr>
              <w:jc w:val="center"/>
            </w:pPr>
          </w:p>
        </w:tc>
        <w:tc>
          <w:tcPr>
            <w:tcW w:w="739" w:type="pct"/>
            <w:tcBorders>
              <w:bottom w:val="single" w:sz="4" w:space="0" w:color="0051BA" w:themeColor="accent1"/>
            </w:tcBorders>
          </w:tcPr>
          <w:p w:rsidR="00454882" w:rsidRPr="00454882" w:rsidRDefault="00454882" w:rsidP="00D47287">
            <w:pPr>
              <w:jc w:val="center"/>
            </w:pPr>
            <w:r w:rsidRPr="00454882">
              <w:sym w:font="Wingdings 2" w:char="F050"/>
            </w:r>
          </w:p>
        </w:tc>
      </w:tr>
      <w:tr w:rsidR="00E569D9" w:rsidRPr="005C6533" w:rsidTr="00E569D9">
        <w:trPr>
          <w:cantSplit/>
        </w:trPr>
        <w:tc>
          <w:tcPr>
            <w:tcW w:w="1448" w:type="pct"/>
            <w:tcBorders>
              <w:right w:val="nil"/>
            </w:tcBorders>
            <w:shd w:val="clear" w:color="auto" w:fill="BEDAFF" w:themeFill="accent1" w:themeFillTint="33"/>
          </w:tcPr>
          <w:p w:rsidR="00E569D9" w:rsidRPr="00454882" w:rsidRDefault="00E569D9" w:rsidP="00D47287">
            <w:r w:rsidRPr="00454882">
              <w:t>Operational Risks</w:t>
            </w:r>
          </w:p>
        </w:tc>
        <w:tc>
          <w:tcPr>
            <w:tcW w:w="1980" w:type="pct"/>
            <w:tcBorders>
              <w:left w:val="nil"/>
              <w:right w:val="nil"/>
            </w:tcBorders>
            <w:shd w:val="clear" w:color="auto" w:fill="BEDAFF" w:themeFill="accent1" w:themeFillTint="33"/>
          </w:tcPr>
          <w:p w:rsidR="00E569D9" w:rsidRPr="00454882" w:rsidRDefault="00E569D9" w:rsidP="00D47287"/>
        </w:tc>
        <w:tc>
          <w:tcPr>
            <w:tcW w:w="833" w:type="pct"/>
            <w:tcBorders>
              <w:left w:val="nil"/>
              <w:right w:val="nil"/>
            </w:tcBorders>
            <w:shd w:val="clear" w:color="auto" w:fill="BEDAFF" w:themeFill="accent1" w:themeFillTint="33"/>
          </w:tcPr>
          <w:p w:rsidR="00E569D9" w:rsidRPr="00454882" w:rsidRDefault="00E569D9" w:rsidP="00D47287"/>
        </w:tc>
        <w:tc>
          <w:tcPr>
            <w:tcW w:w="739" w:type="pct"/>
            <w:tcBorders>
              <w:left w:val="nil"/>
            </w:tcBorders>
            <w:shd w:val="clear" w:color="auto" w:fill="BEDAFF" w:themeFill="accent1" w:themeFillTint="33"/>
          </w:tcPr>
          <w:p w:rsidR="00E569D9" w:rsidRPr="00454882" w:rsidRDefault="00E569D9" w:rsidP="00D47287"/>
        </w:tc>
      </w:tr>
      <w:tr w:rsidR="00454882" w:rsidTr="00992997">
        <w:trPr>
          <w:cantSplit/>
        </w:trPr>
        <w:tc>
          <w:tcPr>
            <w:tcW w:w="1448" w:type="pct"/>
          </w:tcPr>
          <w:p w:rsidR="00454882" w:rsidRPr="00454882" w:rsidRDefault="00454882" w:rsidP="00454882">
            <w:r w:rsidRPr="009114F4">
              <w:t>Fit for purpose</w:t>
            </w:r>
            <w:r w:rsidRPr="00454882">
              <w:t xml:space="preserve"> (operating)</w:t>
            </w:r>
          </w:p>
        </w:tc>
        <w:tc>
          <w:tcPr>
            <w:tcW w:w="1980" w:type="pct"/>
          </w:tcPr>
          <w:p w:rsidR="00454882" w:rsidRPr="00454882" w:rsidRDefault="00454882" w:rsidP="00454882">
            <w:r w:rsidRPr="009114F4">
              <w:t>Risk</w:t>
            </w:r>
            <w:r w:rsidRPr="00454882">
              <w:t xml:space="preserve"> that the New Facility is not able to deliver the Services and/or is not fit for purpose at the required levels</w:t>
            </w:r>
          </w:p>
        </w:tc>
        <w:tc>
          <w:tcPr>
            <w:tcW w:w="833" w:type="pct"/>
          </w:tcPr>
          <w:p w:rsidR="00454882" w:rsidRP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Operational</w:t>
            </w:r>
            <w:r w:rsidRPr="00454882">
              <w:t xml:space="preserve"> costs (non-reviewable services and facilities management)</w:t>
            </w:r>
          </w:p>
        </w:tc>
        <w:tc>
          <w:tcPr>
            <w:tcW w:w="1980" w:type="pct"/>
          </w:tcPr>
          <w:p w:rsidR="00454882" w:rsidRPr="00454882" w:rsidRDefault="00454882" w:rsidP="00454882">
            <w:r w:rsidRPr="009114F4">
              <w:t>Risk</w:t>
            </w:r>
            <w:r w:rsidRPr="00454882">
              <w:t xml:space="preserve"> that operational costs exceed </w:t>
            </w:r>
            <w:proofErr w:type="spellStart"/>
            <w:r w:rsidRPr="00454882">
              <w:t>Juris</w:t>
            </w:r>
            <w:proofErr w:type="spellEnd"/>
            <w:r w:rsidRPr="00454882">
              <w:t xml:space="preserve"> Partnership’s budgeted cost over the operating phase of the Project</w:t>
            </w:r>
          </w:p>
        </w:tc>
        <w:tc>
          <w:tcPr>
            <w:tcW w:w="833" w:type="pct"/>
          </w:tcPr>
          <w:p w:rsidR="00454882" w:rsidRP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Operational</w:t>
            </w:r>
            <w:r w:rsidRPr="00454882">
              <w:t xml:space="preserve"> costs (reviewable services)</w:t>
            </w:r>
          </w:p>
        </w:tc>
        <w:tc>
          <w:tcPr>
            <w:tcW w:w="1980" w:type="pct"/>
          </w:tcPr>
          <w:p w:rsidR="00454882" w:rsidRPr="00454882" w:rsidRDefault="00454882" w:rsidP="00454882">
            <w:r w:rsidRPr="009114F4">
              <w:t>Risk</w:t>
            </w:r>
            <w:r w:rsidRPr="00454882">
              <w:t xml:space="preserve"> that operational costs exceed budgeted cost over the operating phase of the Project</w:t>
            </w:r>
          </w:p>
        </w:tc>
        <w:tc>
          <w:tcPr>
            <w:tcW w:w="833" w:type="pct"/>
          </w:tcPr>
          <w:p w:rsidR="00454882" w:rsidRPr="00454882" w:rsidRDefault="00454882" w:rsidP="00D47287">
            <w:pPr>
              <w:jc w:val="center"/>
            </w:pPr>
            <w:r w:rsidRPr="00454882">
              <w:sym w:font="Wingdings 2" w:char="F050"/>
            </w: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Lifecycle</w:t>
            </w:r>
            <w:r w:rsidRPr="00454882">
              <w:t xml:space="preserve"> costs</w:t>
            </w:r>
          </w:p>
        </w:tc>
        <w:tc>
          <w:tcPr>
            <w:tcW w:w="1980" w:type="pct"/>
          </w:tcPr>
          <w:p w:rsidR="00454882" w:rsidRPr="00454882" w:rsidRDefault="00454882" w:rsidP="00454882">
            <w:r w:rsidRPr="009114F4">
              <w:t>Risks</w:t>
            </w:r>
            <w:r w:rsidRPr="00454882">
              <w:t xml:space="preserve"> associated with the replacement and refurbishment of the Courts Facility over the operating phase of the Project</w:t>
            </w:r>
          </w:p>
        </w:tc>
        <w:tc>
          <w:tcPr>
            <w:tcW w:w="833" w:type="pct"/>
          </w:tcPr>
          <w:p w:rsidR="00454882" w:rsidRP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rsidRPr="009114F4">
              <w:t>Utility</w:t>
            </w:r>
            <w:r w:rsidRPr="00454882">
              <w:t xml:space="preserve"> price risk</w:t>
            </w:r>
          </w:p>
        </w:tc>
        <w:tc>
          <w:tcPr>
            <w:tcW w:w="1980" w:type="pct"/>
          </w:tcPr>
          <w:p w:rsidR="00454882" w:rsidRPr="00454882" w:rsidRDefault="00454882" w:rsidP="00454882">
            <w:r w:rsidRPr="009114F4">
              <w:t>Risk</w:t>
            </w:r>
            <w:r w:rsidRPr="00454882">
              <w:t xml:space="preserve"> of change in the price of the utilities </w:t>
            </w:r>
          </w:p>
        </w:tc>
        <w:tc>
          <w:tcPr>
            <w:tcW w:w="833" w:type="pct"/>
          </w:tcPr>
          <w:p w:rsidR="00454882" w:rsidRPr="00454882" w:rsidRDefault="00454882" w:rsidP="00D47287">
            <w:pPr>
              <w:jc w:val="center"/>
            </w:pPr>
            <w:r w:rsidRPr="00454882">
              <w:sym w:font="Wingdings 2" w:char="F050"/>
            </w:r>
          </w:p>
        </w:tc>
        <w:tc>
          <w:tcPr>
            <w:tcW w:w="739" w:type="pct"/>
          </w:tcPr>
          <w:p w:rsidR="00454882" w:rsidRDefault="00454882" w:rsidP="00D47287">
            <w:pPr>
              <w:jc w:val="center"/>
            </w:pPr>
          </w:p>
        </w:tc>
      </w:tr>
      <w:tr w:rsidR="00454882" w:rsidTr="00E569D9">
        <w:trPr>
          <w:cantSplit/>
        </w:trPr>
        <w:tc>
          <w:tcPr>
            <w:tcW w:w="1448" w:type="pct"/>
            <w:tcBorders>
              <w:bottom w:val="single" w:sz="4" w:space="0" w:color="0051BA" w:themeColor="accent1"/>
            </w:tcBorders>
          </w:tcPr>
          <w:p w:rsidR="00454882" w:rsidRPr="00454882" w:rsidRDefault="00016AC7" w:rsidP="00454882">
            <w:r w:rsidRPr="00016AC7">
              <w:rPr>
                <w:noProof/>
                <w:lang w:val="en-US" w:eastAsia="zh-TW"/>
              </w:rPr>
              <w:pict>
                <v:shape id="_x0000_s1040" type="#_x0000_t202" alt="Change in Law or Policy Risks" style="position:absolute;left:0;text-align:left;margin-left:-1.35pt;margin-top:7.95pt;width:173.45pt;height:34.65pt;z-index:251697152;mso-width-percent:400;mso-height-percent:200;mso-position-horizontal-relative:text;mso-position-vertical-relative:text;mso-width-percent:400;mso-height-percent:200;mso-width-relative:margin;mso-height-relative:margin" filled="f" stroked="f">
                  <v:textbox style="mso-fit-shape-to-text:t">
                    <w:txbxContent>
                      <w:p w:rsidR="00E569D9" w:rsidRDefault="00E569D9">
                        <w:r w:rsidRPr="00454882">
                          <w:t>Change in Law or Policy Risks</w:t>
                        </w:r>
                      </w:p>
                    </w:txbxContent>
                  </v:textbox>
                </v:shape>
              </w:pict>
            </w:r>
            <w:r w:rsidR="00454882">
              <w:t>Utility volume risk</w:t>
            </w:r>
          </w:p>
        </w:tc>
        <w:tc>
          <w:tcPr>
            <w:tcW w:w="1980" w:type="pct"/>
            <w:tcBorders>
              <w:bottom w:val="single" w:sz="4" w:space="0" w:color="0051BA" w:themeColor="accent1"/>
            </w:tcBorders>
          </w:tcPr>
          <w:p w:rsidR="00454882" w:rsidRPr="00454882" w:rsidRDefault="00454882" w:rsidP="00454882">
            <w:r>
              <w:t xml:space="preserve">The volume of </w:t>
            </w:r>
            <w:r w:rsidRPr="00454882">
              <w:t>energy demand</w:t>
            </w:r>
          </w:p>
        </w:tc>
        <w:tc>
          <w:tcPr>
            <w:tcW w:w="833" w:type="pct"/>
            <w:tcBorders>
              <w:bottom w:val="single" w:sz="4" w:space="0" w:color="0051BA" w:themeColor="accent1"/>
            </w:tcBorders>
          </w:tcPr>
          <w:p w:rsidR="00454882" w:rsidRPr="00454882" w:rsidRDefault="00454882" w:rsidP="00D47287">
            <w:pPr>
              <w:jc w:val="center"/>
            </w:pPr>
            <w:r w:rsidRPr="00454882">
              <w:sym w:font="Wingdings 2" w:char="F050"/>
            </w:r>
          </w:p>
        </w:tc>
        <w:tc>
          <w:tcPr>
            <w:tcW w:w="739" w:type="pct"/>
            <w:tcBorders>
              <w:bottom w:val="single" w:sz="4" w:space="0" w:color="0051BA" w:themeColor="accent1"/>
            </w:tcBorders>
          </w:tcPr>
          <w:p w:rsidR="00454882" w:rsidRPr="00454882" w:rsidRDefault="00454882" w:rsidP="00D47287">
            <w:pPr>
              <w:jc w:val="center"/>
            </w:pPr>
            <w:r w:rsidRPr="00454882">
              <w:sym w:font="Wingdings 2" w:char="F050"/>
            </w:r>
          </w:p>
        </w:tc>
      </w:tr>
      <w:tr w:rsidR="00E569D9" w:rsidRPr="005C6533" w:rsidTr="00E569D9">
        <w:trPr>
          <w:cantSplit/>
        </w:trPr>
        <w:tc>
          <w:tcPr>
            <w:tcW w:w="1448" w:type="pct"/>
            <w:tcBorders>
              <w:right w:val="nil"/>
            </w:tcBorders>
            <w:shd w:val="clear" w:color="auto" w:fill="BEDAFF" w:themeFill="accent1" w:themeFillTint="33"/>
          </w:tcPr>
          <w:p w:rsidR="00E569D9" w:rsidRPr="00454882" w:rsidRDefault="00E569D9" w:rsidP="00D47287"/>
        </w:tc>
        <w:tc>
          <w:tcPr>
            <w:tcW w:w="1980" w:type="pct"/>
            <w:tcBorders>
              <w:left w:val="nil"/>
              <w:right w:val="nil"/>
            </w:tcBorders>
            <w:shd w:val="clear" w:color="auto" w:fill="BEDAFF" w:themeFill="accent1" w:themeFillTint="33"/>
          </w:tcPr>
          <w:p w:rsidR="00E569D9" w:rsidRPr="00454882" w:rsidRDefault="00E569D9" w:rsidP="00D47287"/>
        </w:tc>
        <w:tc>
          <w:tcPr>
            <w:tcW w:w="833" w:type="pct"/>
            <w:tcBorders>
              <w:left w:val="nil"/>
              <w:right w:val="nil"/>
            </w:tcBorders>
            <w:shd w:val="clear" w:color="auto" w:fill="BEDAFF" w:themeFill="accent1" w:themeFillTint="33"/>
          </w:tcPr>
          <w:p w:rsidR="00E569D9" w:rsidRPr="00454882" w:rsidRDefault="00E569D9" w:rsidP="00D47287"/>
        </w:tc>
        <w:tc>
          <w:tcPr>
            <w:tcW w:w="739" w:type="pct"/>
            <w:tcBorders>
              <w:left w:val="nil"/>
            </w:tcBorders>
            <w:shd w:val="clear" w:color="auto" w:fill="BEDAFF" w:themeFill="accent1" w:themeFillTint="33"/>
          </w:tcPr>
          <w:p w:rsidR="00E569D9" w:rsidRPr="00454882" w:rsidRDefault="00E569D9" w:rsidP="00D47287"/>
        </w:tc>
      </w:tr>
      <w:tr w:rsidR="00454882" w:rsidTr="00992997">
        <w:trPr>
          <w:cantSplit/>
        </w:trPr>
        <w:tc>
          <w:tcPr>
            <w:tcW w:w="1448" w:type="pct"/>
          </w:tcPr>
          <w:p w:rsidR="00B040EE" w:rsidRDefault="00454882" w:rsidP="00B040EE">
            <w:r w:rsidRPr="009114F4">
              <w:t>Changes</w:t>
            </w:r>
            <w:r w:rsidRPr="00454882">
              <w:t xml:space="preserve"> in Law (General)</w:t>
            </w:r>
          </w:p>
          <w:p w:rsidR="00E569D9" w:rsidRDefault="00E569D9" w:rsidP="00B040EE"/>
        </w:tc>
        <w:tc>
          <w:tcPr>
            <w:tcW w:w="1980" w:type="pct"/>
          </w:tcPr>
          <w:p w:rsidR="00B040EE" w:rsidRDefault="00454882" w:rsidP="00B040EE">
            <w:r w:rsidRPr="009114F4">
              <w:t>Risk</w:t>
            </w:r>
            <w:r w:rsidRPr="00454882">
              <w:t xml:space="preserve"> that a change in legislation / regulations which applies generally will impact on the design or construction of the New Facility or provision of the Services</w:t>
            </w:r>
          </w:p>
        </w:tc>
        <w:tc>
          <w:tcPr>
            <w:tcW w:w="833" w:type="pct"/>
          </w:tcPr>
          <w:p w:rsidR="00454882" w:rsidRPr="00454882" w:rsidRDefault="00454882" w:rsidP="00D47287">
            <w:pPr>
              <w:jc w:val="center"/>
            </w:pPr>
            <w:r w:rsidRPr="00454882">
              <w:sym w:font="Wingdings 2" w:char="F050"/>
            </w: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B040EE" w:rsidRDefault="00454882" w:rsidP="00B040EE">
            <w:r w:rsidRPr="009114F4">
              <w:lastRenderedPageBreak/>
              <w:t>Changes</w:t>
            </w:r>
            <w:r w:rsidRPr="00454882">
              <w:t xml:space="preserve"> in Law (Project Specific)</w:t>
            </w:r>
          </w:p>
        </w:tc>
        <w:tc>
          <w:tcPr>
            <w:tcW w:w="1980" w:type="pct"/>
          </w:tcPr>
          <w:p w:rsidR="00454882" w:rsidRPr="00454882" w:rsidRDefault="00454882" w:rsidP="005B4AD6">
            <w:r w:rsidRPr="009114F4">
              <w:t>Risk</w:t>
            </w:r>
            <w:r w:rsidRPr="00454882">
              <w:t xml:space="preserve"> that a change in legislation / regulations</w:t>
            </w:r>
            <w:r w:rsidR="005B4AD6">
              <w:t xml:space="preserve"> </w:t>
            </w:r>
            <w:r w:rsidRPr="00454882">
              <w:t xml:space="preserve">which expressly and exclusively applies to the Project, </w:t>
            </w:r>
            <w:r w:rsidR="005B4AD6" w:rsidRPr="005B4AD6">
              <w:t>or a Territory policy or quality standard,</w:t>
            </w:r>
            <w:r w:rsidR="005B4AD6">
              <w:t xml:space="preserve"> </w:t>
            </w:r>
            <w:r w:rsidRPr="00454882">
              <w:t>will impact on the design or construction of the New Facility or provision of the Services</w:t>
            </w:r>
          </w:p>
        </w:tc>
        <w:tc>
          <w:tcPr>
            <w:tcW w:w="833" w:type="pct"/>
          </w:tcPr>
          <w:p w:rsidR="00454882" w:rsidRPr="00454882" w:rsidRDefault="00454882" w:rsidP="00D47287">
            <w:pPr>
              <w:jc w:val="center"/>
            </w:pPr>
            <w:r w:rsidRPr="00454882">
              <w:sym w:font="Wingdings 2" w:char="F050"/>
            </w:r>
          </w:p>
        </w:tc>
        <w:tc>
          <w:tcPr>
            <w:tcW w:w="739" w:type="pct"/>
          </w:tcPr>
          <w:p w:rsidR="00454882" w:rsidRDefault="00454882" w:rsidP="00D47287">
            <w:pPr>
              <w:jc w:val="center"/>
            </w:pPr>
          </w:p>
        </w:tc>
      </w:tr>
      <w:tr w:rsidR="00454882" w:rsidTr="00E569D9">
        <w:trPr>
          <w:cantSplit/>
        </w:trPr>
        <w:tc>
          <w:tcPr>
            <w:tcW w:w="1448" w:type="pct"/>
            <w:tcBorders>
              <w:bottom w:val="single" w:sz="4" w:space="0" w:color="0051BA" w:themeColor="accent1"/>
            </w:tcBorders>
          </w:tcPr>
          <w:p w:rsidR="00454882" w:rsidRPr="00454882" w:rsidRDefault="00454882" w:rsidP="00454882">
            <w:r w:rsidRPr="009114F4">
              <w:t>Tax</w:t>
            </w:r>
            <w:r w:rsidRPr="00454882">
              <w:t xml:space="preserve"> risk</w:t>
            </w:r>
          </w:p>
        </w:tc>
        <w:tc>
          <w:tcPr>
            <w:tcW w:w="1980" w:type="pct"/>
            <w:tcBorders>
              <w:bottom w:val="single" w:sz="4" w:space="0" w:color="0051BA" w:themeColor="accent1"/>
            </w:tcBorders>
          </w:tcPr>
          <w:p w:rsidR="00454882" w:rsidRPr="00454882" w:rsidRDefault="00454882" w:rsidP="00454882">
            <w:r w:rsidRPr="009114F4">
              <w:t>Risk</w:t>
            </w:r>
            <w:r w:rsidRPr="00454882">
              <w:t xml:space="preserve"> of changes in income tax, GST or the introduction of a tax affecting companies generally</w:t>
            </w:r>
          </w:p>
        </w:tc>
        <w:tc>
          <w:tcPr>
            <w:tcW w:w="833" w:type="pct"/>
            <w:tcBorders>
              <w:bottom w:val="single" w:sz="4" w:space="0" w:color="0051BA" w:themeColor="accent1"/>
            </w:tcBorders>
          </w:tcPr>
          <w:p w:rsidR="00454882" w:rsidRDefault="00454882" w:rsidP="00D47287">
            <w:pPr>
              <w:jc w:val="center"/>
            </w:pPr>
          </w:p>
        </w:tc>
        <w:tc>
          <w:tcPr>
            <w:tcW w:w="739" w:type="pct"/>
            <w:tcBorders>
              <w:bottom w:val="single" w:sz="4" w:space="0" w:color="0051BA" w:themeColor="accent1"/>
            </w:tcBorders>
          </w:tcPr>
          <w:p w:rsidR="00454882" w:rsidRPr="00454882" w:rsidRDefault="00454882" w:rsidP="00D47287">
            <w:pPr>
              <w:jc w:val="center"/>
            </w:pPr>
            <w:r w:rsidRPr="00454882">
              <w:sym w:font="Wingdings 2" w:char="F050"/>
            </w:r>
          </w:p>
        </w:tc>
      </w:tr>
      <w:tr w:rsidR="00E569D9" w:rsidRPr="005C6533" w:rsidTr="00E569D9">
        <w:trPr>
          <w:cantSplit/>
        </w:trPr>
        <w:tc>
          <w:tcPr>
            <w:tcW w:w="1448" w:type="pct"/>
            <w:tcBorders>
              <w:right w:val="nil"/>
            </w:tcBorders>
            <w:shd w:val="clear" w:color="auto" w:fill="BEDAFF" w:themeFill="accent1" w:themeFillTint="33"/>
          </w:tcPr>
          <w:p w:rsidR="00E569D9" w:rsidRPr="00454882" w:rsidRDefault="00E569D9" w:rsidP="00D47287">
            <w:r w:rsidRPr="00454882">
              <w:t>Force Majeure</w:t>
            </w:r>
          </w:p>
        </w:tc>
        <w:tc>
          <w:tcPr>
            <w:tcW w:w="1980" w:type="pct"/>
            <w:tcBorders>
              <w:left w:val="nil"/>
              <w:right w:val="nil"/>
            </w:tcBorders>
            <w:shd w:val="clear" w:color="auto" w:fill="BEDAFF" w:themeFill="accent1" w:themeFillTint="33"/>
          </w:tcPr>
          <w:p w:rsidR="00E569D9" w:rsidRPr="00454882" w:rsidRDefault="00E569D9" w:rsidP="00D47287"/>
        </w:tc>
        <w:tc>
          <w:tcPr>
            <w:tcW w:w="833" w:type="pct"/>
            <w:tcBorders>
              <w:left w:val="nil"/>
              <w:right w:val="nil"/>
            </w:tcBorders>
            <w:shd w:val="clear" w:color="auto" w:fill="BEDAFF" w:themeFill="accent1" w:themeFillTint="33"/>
          </w:tcPr>
          <w:p w:rsidR="00E569D9" w:rsidRPr="00454882" w:rsidRDefault="00E569D9" w:rsidP="00D47287"/>
        </w:tc>
        <w:tc>
          <w:tcPr>
            <w:tcW w:w="739" w:type="pct"/>
            <w:tcBorders>
              <w:left w:val="nil"/>
            </w:tcBorders>
            <w:shd w:val="clear" w:color="auto" w:fill="BEDAFF" w:themeFill="accent1" w:themeFillTint="33"/>
          </w:tcPr>
          <w:p w:rsidR="00E569D9" w:rsidRPr="00454882" w:rsidRDefault="00E569D9" w:rsidP="00D47287"/>
        </w:tc>
      </w:tr>
      <w:tr w:rsidR="00454882" w:rsidTr="00283E77">
        <w:trPr>
          <w:cantSplit/>
        </w:trPr>
        <w:tc>
          <w:tcPr>
            <w:tcW w:w="1448" w:type="pct"/>
            <w:tcBorders>
              <w:bottom w:val="single" w:sz="4" w:space="0" w:color="0051BA" w:themeColor="accent1"/>
            </w:tcBorders>
          </w:tcPr>
          <w:p w:rsidR="00454882" w:rsidRPr="00454882" w:rsidRDefault="00454882" w:rsidP="00454882">
            <w:r w:rsidRPr="009114F4">
              <w:t>Force Majeure</w:t>
            </w:r>
          </w:p>
        </w:tc>
        <w:tc>
          <w:tcPr>
            <w:tcW w:w="1980" w:type="pct"/>
            <w:tcBorders>
              <w:bottom w:val="single" w:sz="4" w:space="0" w:color="0051BA" w:themeColor="accent1"/>
            </w:tcBorders>
          </w:tcPr>
          <w:p w:rsidR="00454882" w:rsidRPr="00454882" w:rsidRDefault="00454882" w:rsidP="00454882">
            <w:r w:rsidRPr="009114F4">
              <w:t>Risk</w:t>
            </w:r>
            <w:r w:rsidRPr="00454882">
              <w:t xml:space="preserve"> that specified unforeseen events will impact on the design or construction of the New Facility or on the provision of the Services</w:t>
            </w:r>
          </w:p>
        </w:tc>
        <w:tc>
          <w:tcPr>
            <w:tcW w:w="833" w:type="pct"/>
            <w:tcBorders>
              <w:bottom w:val="single" w:sz="4" w:space="0" w:color="0051BA" w:themeColor="accent1"/>
            </w:tcBorders>
          </w:tcPr>
          <w:p w:rsidR="00454882" w:rsidRPr="00454882" w:rsidRDefault="00454882" w:rsidP="00D47287">
            <w:pPr>
              <w:jc w:val="center"/>
            </w:pPr>
            <w:r w:rsidRPr="00454882">
              <w:sym w:font="Wingdings 2" w:char="F050"/>
            </w:r>
          </w:p>
        </w:tc>
        <w:tc>
          <w:tcPr>
            <w:tcW w:w="739" w:type="pct"/>
            <w:tcBorders>
              <w:bottom w:val="single" w:sz="4" w:space="0" w:color="0051BA" w:themeColor="accent1"/>
            </w:tcBorders>
          </w:tcPr>
          <w:p w:rsidR="00454882" w:rsidRPr="00454882" w:rsidRDefault="00454882" w:rsidP="00D47287">
            <w:pPr>
              <w:jc w:val="center"/>
            </w:pPr>
            <w:r w:rsidRPr="00454882">
              <w:sym w:font="Wingdings 2" w:char="F050"/>
            </w:r>
          </w:p>
        </w:tc>
      </w:tr>
      <w:tr w:rsidR="00E569D9" w:rsidRPr="005C6533" w:rsidTr="00283E77">
        <w:trPr>
          <w:cantSplit/>
        </w:trPr>
        <w:tc>
          <w:tcPr>
            <w:tcW w:w="1448" w:type="pct"/>
            <w:tcBorders>
              <w:right w:val="nil"/>
            </w:tcBorders>
            <w:shd w:val="clear" w:color="auto" w:fill="BEDAFF" w:themeFill="accent1" w:themeFillTint="33"/>
          </w:tcPr>
          <w:p w:rsidR="00E569D9" w:rsidRPr="00454882" w:rsidRDefault="00E569D9" w:rsidP="00D47287">
            <w:r w:rsidRPr="00454882">
              <w:t>Finance Risk</w:t>
            </w:r>
          </w:p>
        </w:tc>
        <w:tc>
          <w:tcPr>
            <w:tcW w:w="1980" w:type="pct"/>
            <w:tcBorders>
              <w:left w:val="nil"/>
              <w:right w:val="nil"/>
            </w:tcBorders>
            <w:shd w:val="clear" w:color="auto" w:fill="BEDAFF" w:themeFill="accent1" w:themeFillTint="33"/>
          </w:tcPr>
          <w:p w:rsidR="00E569D9" w:rsidRPr="00454882" w:rsidRDefault="00E569D9" w:rsidP="00D47287"/>
        </w:tc>
        <w:tc>
          <w:tcPr>
            <w:tcW w:w="833" w:type="pct"/>
            <w:tcBorders>
              <w:left w:val="nil"/>
              <w:right w:val="nil"/>
            </w:tcBorders>
            <w:shd w:val="clear" w:color="auto" w:fill="BEDAFF" w:themeFill="accent1" w:themeFillTint="33"/>
          </w:tcPr>
          <w:p w:rsidR="00E569D9" w:rsidRPr="00454882" w:rsidRDefault="00E569D9" w:rsidP="00D47287"/>
        </w:tc>
        <w:tc>
          <w:tcPr>
            <w:tcW w:w="739" w:type="pct"/>
            <w:tcBorders>
              <w:left w:val="nil"/>
            </w:tcBorders>
            <w:shd w:val="clear" w:color="auto" w:fill="BEDAFF" w:themeFill="accent1" w:themeFillTint="33"/>
          </w:tcPr>
          <w:p w:rsidR="00E569D9" w:rsidRPr="00454882" w:rsidRDefault="00E569D9" w:rsidP="00D47287"/>
        </w:tc>
      </w:tr>
      <w:tr w:rsidR="00454882" w:rsidTr="00992997">
        <w:trPr>
          <w:cantSplit/>
        </w:trPr>
        <w:tc>
          <w:tcPr>
            <w:tcW w:w="1448" w:type="pct"/>
          </w:tcPr>
          <w:p w:rsidR="00454882" w:rsidRPr="00454882" w:rsidRDefault="00454882" w:rsidP="00454882">
            <w:r w:rsidRPr="009114F4">
              <w:t>Funding</w:t>
            </w:r>
            <w:r w:rsidRPr="00454882">
              <w:t xml:space="preserve"> risk</w:t>
            </w:r>
          </w:p>
        </w:tc>
        <w:tc>
          <w:tcPr>
            <w:tcW w:w="1980" w:type="pct"/>
          </w:tcPr>
          <w:p w:rsidR="00454882" w:rsidRPr="00454882" w:rsidRDefault="00454882" w:rsidP="00454882">
            <w:r w:rsidRPr="009114F4">
              <w:t>Risk</w:t>
            </w:r>
            <w:r w:rsidRPr="00454882">
              <w:t xml:space="preserve"> of providing funds to meet design and construction costs</w:t>
            </w:r>
          </w:p>
        </w:tc>
        <w:tc>
          <w:tcPr>
            <w:tcW w:w="833" w:type="pct"/>
          </w:tcPr>
          <w:p w:rsidR="00454882" w:rsidRP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5F30EF">
            <w:r w:rsidRPr="009114F4">
              <w:t>Base interest rate</w:t>
            </w:r>
            <w:r w:rsidRPr="00454882">
              <w:t xml:space="preserve"> risk after Financial Close </w:t>
            </w:r>
          </w:p>
        </w:tc>
        <w:tc>
          <w:tcPr>
            <w:tcW w:w="1980" w:type="pct"/>
          </w:tcPr>
          <w:p w:rsidR="00454882" w:rsidRPr="00454882" w:rsidRDefault="00454882" w:rsidP="005F30EF">
            <w:r w:rsidRPr="009114F4">
              <w:t>Risk</w:t>
            </w:r>
            <w:r w:rsidRPr="00454882">
              <w:t xml:space="preserve"> of movements in base interest rates after Financial Close </w:t>
            </w:r>
          </w:p>
        </w:tc>
        <w:tc>
          <w:tcPr>
            <w:tcW w:w="833" w:type="pct"/>
          </w:tcPr>
          <w:p w:rsidR="00454882" w:rsidRP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r w:rsidR="00454882" w:rsidTr="00992997">
        <w:trPr>
          <w:cantSplit/>
        </w:trPr>
        <w:tc>
          <w:tcPr>
            <w:tcW w:w="1448" w:type="pct"/>
          </w:tcPr>
          <w:p w:rsidR="00454882" w:rsidRPr="00454882" w:rsidRDefault="00454882" w:rsidP="00454882">
            <w:r>
              <w:t>Operating</w:t>
            </w:r>
            <w:r w:rsidRPr="00454882">
              <w:t xml:space="preserve"> insurance premium risk</w:t>
            </w:r>
          </w:p>
        </w:tc>
        <w:tc>
          <w:tcPr>
            <w:tcW w:w="1980" w:type="pct"/>
          </w:tcPr>
          <w:p w:rsidR="00B040EE" w:rsidRDefault="00454882" w:rsidP="00B040EE">
            <w:r>
              <w:t>Risk</w:t>
            </w:r>
            <w:r w:rsidRPr="00454882">
              <w:t xml:space="preserve"> of inability to obtain insurance or material increases in insurance premiums </w:t>
            </w:r>
            <w:r w:rsidR="005B4AD6">
              <w:t>for</w:t>
            </w:r>
            <w:r w:rsidRPr="00454882">
              <w:t xml:space="preserve"> industrial special risks / consequential loss</w:t>
            </w:r>
            <w:r w:rsidR="00D60A99">
              <w:t xml:space="preserve"> cover</w:t>
            </w:r>
            <w:r w:rsidR="005B4AD6">
              <w:t xml:space="preserve"> </w:t>
            </w:r>
            <w:r w:rsidR="005B4AD6" w:rsidRPr="005B4AD6">
              <w:t xml:space="preserve">other than where caused by </w:t>
            </w:r>
            <w:proofErr w:type="spellStart"/>
            <w:r w:rsidR="005B4AD6" w:rsidRPr="005B4AD6">
              <w:t>Juris</w:t>
            </w:r>
            <w:proofErr w:type="spellEnd"/>
            <w:r w:rsidR="005B4AD6" w:rsidRPr="005B4AD6">
              <w:t xml:space="preserve"> Partnership</w:t>
            </w:r>
          </w:p>
        </w:tc>
        <w:tc>
          <w:tcPr>
            <w:tcW w:w="833" w:type="pct"/>
          </w:tcPr>
          <w:p w:rsidR="00454882" w:rsidRPr="00454882" w:rsidRDefault="00454882" w:rsidP="00D47287">
            <w:pPr>
              <w:jc w:val="center"/>
            </w:pPr>
            <w:r w:rsidRPr="00454882">
              <w:sym w:font="Wingdings 2" w:char="F050"/>
            </w:r>
          </w:p>
        </w:tc>
        <w:tc>
          <w:tcPr>
            <w:tcW w:w="739" w:type="pct"/>
          </w:tcPr>
          <w:p w:rsidR="00454882" w:rsidRDefault="00454882" w:rsidP="00D47287">
            <w:pPr>
              <w:jc w:val="center"/>
            </w:pPr>
          </w:p>
        </w:tc>
      </w:tr>
      <w:tr w:rsidR="00454882" w:rsidTr="00992997">
        <w:trPr>
          <w:cantSplit/>
        </w:trPr>
        <w:tc>
          <w:tcPr>
            <w:tcW w:w="1448" w:type="pct"/>
          </w:tcPr>
          <w:p w:rsidR="00454882" w:rsidRPr="00454882" w:rsidRDefault="00454882" w:rsidP="00454882">
            <w:r>
              <w:t>Residual condition</w:t>
            </w:r>
          </w:p>
        </w:tc>
        <w:tc>
          <w:tcPr>
            <w:tcW w:w="1980" w:type="pct"/>
          </w:tcPr>
          <w:p w:rsidR="00454882" w:rsidRPr="00454882" w:rsidRDefault="00454882" w:rsidP="00454882">
            <w:r>
              <w:t>Risk</w:t>
            </w:r>
            <w:r w:rsidRPr="00454882">
              <w:t xml:space="preserve"> that on expiry of the contract term the condition of the Courts Facility is less than that required by the Project Agreement</w:t>
            </w:r>
          </w:p>
        </w:tc>
        <w:tc>
          <w:tcPr>
            <w:tcW w:w="833" w:type="pct"/>
          </w:tcPr>
          <w:p w:rsidR="00454882" w:rsidRDefault="00454882" w:rsidP="00D47287">
            <w:pPr>
              <w:jc w:val="center"/>
            </w:pPr>
          </w:p>
        </w:tc>
        <w:tc>
          <w:tcPr>
            <w:tcW w:w="739" w:type="pct"/>
          </w:tcPr>
          <w:p w:rsidR="00454882" w:rsidRPr="00454882" w:rsidRDefault="00454882" w:rsidP="00D47287">
            <w:pPr>
              <w:jc w:val="center"/>
            </w:pPr>
            <w:r w:rsidRPr="00454882">
              <w:sym w:font="Wingdings 2" w:char="F050"/>
            </w:r>
          </w:p>
        </w:tc>
      </w:tr>
    </w:tbl>
    <w:p w:rsidR="00454882" w:rsidRDefault="00454882" w:rsidP="00454882">
      <w:pPr>
        <w:pStyle w:val="Heading2"/>
      </w:pPr>
      <w:bookmarkStart w:id="48" w:name="_Toc445867807"/>
      <w:bookmarkStart w:id="49" w:name="_Toc453768995"/>
      <w:r>
        <w:t xml:space="preserve">General Obligations of </w:t>
      </w:r>
      <w:proofErr w:type="spellStart"/>
      <w:r>
        <w:t>Juris</w:t>
      </w:r>
      <w:proofErr w:type="spellEnd"/>
      <w:r>
        <w:t xml:space="preserve"> Partnership</w:t>
      </w:r>
      <w:bookmarkEnd w:id="48"/>
      <w:bookmarkEnd w:id="49"/>
    </w:p>
    <w:p w:rsidR="00454882" w:rsidRDefault="00454882" w:rsidP="00454882">
      <w:bookmarkStart w:id="50" w:name="bookmark0"/>
      <w:bookmarkEnd w:id="50"/>
      <w:proofErr w:type="spellStart"/>
      <w:r w:rsidRPr="003A0DEE">
        <w:t>Juris</w:t>
      </w:r>
      <w:proofErr w:type="spellEnd"/>
      <w:r w:rsidRPr="003A0DEE">
        <w:t xml:space="preserve"> Partnership has contracted with the Territory to finance, design and construct the New Facility and Reconditioned Areas </w:t>
      </w:r>
      <w:r>
        <w:t xml:space="preserve">and </w:t>
      </w:r>
      <w:r w:rsidRPr="003A0DEE">
        <w:t xml:space="preserve">provide related facilities management services </w:t>
      </w:r>
      <w:r>
        <w:t>to the Courts Facility</w:t>
      </w:r>
      <w:r w:rsidRPr="003A0DEE">
        <w:t xml:space="preserve"> over a 25-year term. The Project Agreement details the Territory’s minimum design requirements (Output Specification) which </w:t>
      </w:r>
      <w:proofErr w:type="spellStart"/>
      <w:r w:rsidRPr="003A0DEE">
        <w:t>Juris</w:t>
      </w:r>
      <w:proofErr w:type="spellEnd"/>
      <w:r w:rsidRPr="003A0DEE">
        <w:t xml:space="preserve"> Partnership must meet in delivering the New Facility and </w:t>
      </w:r>
      <w:r>
        <w:t xml:space="preserve">Reconditioned Areas and </w:t>
      </w:r>
      <w:r w:rsidRPr="003A0DEE">
        <w:t xml:space="preserve">the minimum service performance requirements (Services  Specification) </w:t>
      </w:r>
      <w:proofErr w:type="spellStart"/>
      <w:r w:rsidRPr="003A0DEE">
        <w:t>Juris</w:t>
      </w:r>
      <w:proofErr w:type="spellEnd"/>
      <w:r w:rsidRPr="003A0DEE">
        <w:t xml:space="preserve"> Partnership must achieve throughout the 25-year </w:t>
      </w:r>
      <w:r w:rsidR="00683E5E">
        <w:t>Services Phase</w:t>
      </w:r>
      <w:r w:rsidRPr="003A0DEE">
        <w:t xml:space="preserve">. The full array of </w:t>
      </w:r>
      <w:proofErr w:type="spellStart"/>
      <w:r w:rsidRPr="003A0DEE">
        <w:t>Juris</w:t>
      </w:r>
      <w:proofErr w:type="spellEnd"/>
      <w:r w:rsidRPr="003A0DEE">
        <w:t xml:space="preserve"> Partnership’s obligations is contained in the Project Agreement and ancillary contracts.</w:t>
      </w:r>
    </w:p>
    <w:p w:rsidR="00992997" w:rsidRPr="003A0DEE" w:rsidRDefault="00992997" w:rsidP="00454882"/>
    <w:p w:rsidR="00454882" w:rsidRDefault="00016AC7" w:rsidP="00454882">
      <w:r>
        <w:lastRenderedPageBreak/>
        <w:fldChar w:fldCharType="begin"/>
      </w:r>
      <w:r w:rsidR="0009783C">
        <w:instrText xml:space="preserve"> REF _Ref445862486 \h </w:instrText>
      </w:r>
      <w:r>
        <w:fldChar w:fldCharType="separate"/>
      </w:r>
      <w:r w:rsidR="00F55362">
        <w:t xml:space="preserve">Table </w:t>
      </w:r>
      <w:r w:rsidR="00F55362">
        <w:rPr>
          <w:noProof/>
        </w:rPr>
        <w:t>7</w:t>
      </w:r>
      <w:r>
        <w:fldChar w:fldCharType="end"/>
      </w:r>
      <w:r w:rsidR="0009783C">
        <w:t xml:space="preserve"> </w:t>
      </w:r>
      <w:r w:rsidR="00454882" w:rsidRPr="003A0DEE">
        <w:t xml:space="preserve">further summarises the obligations of </w:t>
      </w:r>
      <w:proofErr w:type="spellStart"/>
      <w:r w:rsidR="00454882" w:rsidRPr="003A0DEE">
        <w:t>Juris</w:t>
      </w:r>
      <w:proofErr w:type="spellEnd"/>
      <w:r w:rsidR="00454882" w:rsidRPr="003A0DEE">
        <w:t xml:space="preserve"> Partnership over the course of the Project.</w:t>
      </w:r>
    </w:p>
    <w:p w:rsidR="00454882" w:rsidRPr="00454882" w:rsidRDefault="00454882" w:rsidP="00454882">
      <w:pPr>
        <w:pStyle w:val="Caption"/>
      </w:pPr>
      <w:bookmarkStart w:id="51" w:name="bookmark1"/>
      <w:bookmarkStart w:id="52" w:name="_Ref445862486"/>
      <w:bookmarkEnd w:id="51"/>
      <w:r>
        <w:t xml:space="preserve">Table </w:t>
      </w:r>
      <w:r w:rsidR="00016AC7">
        <w:fldChar w:fldCharType="begin"/>
      </w:r>
      <w:r>
        <w:instrText xml:space="preserve"> SEQ Table \* ARABIC </w:instrText>
      </w:r>
      <w:r w:rsidR="00016AC7">
        <w:fldChar w:fldCharType="separate"/>
      </w:r>
      <w:r w:rsidR="00F55362">
        <w:rPr>
          <w:noProof/>
        </w:rPr>
        <w:t>7</w:t>
      </w:r>
      <w:r w:rsidR="00016AC7">
        <w:fldChar w:fldCharType="end"/>
      </w:r>
      <w:bookmarkEnd w:id="52"/>
      <w:r>
        <w:t xml:space="preserve">: Summary of key </w:t>
      </w:r>
      <w:proofErr w:type="spellStart"/>
      <w:r>
        <w:t>Juris</w:t>
      </w:r>
      <w:proofErr w:type="spellEnd"/>
      <w:r>
        <w:t xml:space="preserve"> Partnership</w:t>
      </w:r>
      <w:r w:rsidRPr="00FF1E5B">
        <w:t xml:space="preserve"> obligations</w:t>
      </w:r>
    </w:p>
    <w:tbl>
      <w:tblPr>
        <w:tblStyle w:val="TableGrid"/>
        <w:tblW w:w="5000" w:type="pct"/>
        <w:tblLook w:val="04A0"/>
      </w:tblPr>
      <w:tblGrid>
        <w:gridCol w:w="3095"/>
        <w:gridCol w:w="5589"/>
      </w:tblGrid>
      <w:tr w:rsidR="00454882" w:rsidTr="00454882">
        <w:trPr>
          <w:cnfStyle w:val="100000000000"/>
          <w:tblHeader/>
        </w:trPr>
        <w:tc>
          <w:tcPr>
            <w:tcW w:w="1782" w:type="pct"/>
          </w:tcPr>
          <w:p w:rsidR="00454882" w:rsidRPr="00454882" w:rsidRDefault="00454882" w:rsidP="00454882">
            <w:pPr>
              <w:spacing w:before="96" w:after="96"/>
            </w:pPr>
            <w:r w:rsidRPr="00454882">
              <w:t>Project Element</w:t>
            </w:r>
          </w:p>
        </w:tc>
        <w:tc>
          <w:tcPr>
            <w:tcW w:w="3218" w:type="pct"/>
          </w:tcPr>
          <w:p w:rsidR="00454882" w:rsidRPr="00454882" w:rsidRDefault="00454882" w:rsidP="00454882">
            <w:pPr>
              <w:spacing w:before="96" w:after="96"/>
            </w:pPr>
            <w:r w:rsidRPr="00454882">
              <w:t>Description</w:t>
            </w:r>
          </w:p>
        </w:tc>
      </w:tr>
      <w:tr w:rsidR="00454882" w:rsidTr="00454882">
        <w:tc>
          <w:tcPr>
            <w:tcW w:w="1782" w:type="pct"/>
          </w:tcPr>
          <w:p w:rsidR="00454882" w:rsidRPr="00454882" w:rsidRDefault="00454882" w:rsidP="00454882">
            <w:r>
              <w:t>Design,</w:t>
            </w:r>
            <w:r w:rsidRPr="00454882">
              <w:t xml:space="preserve"> construction and commissioning</w:t>
            </w:r>
          </w:p>
        </w:tc>
        <w:tc>
          <w:tcPr>
            <w:tcW w:w="3218" w:type="pct"/>
          </w:tcPr>
          <w:p w:rsidR="00454882" w:rsidRPr="00454882" w:rsidRDefault="00454882" w:rsidP="00454882">
            <w:proofErr w:type="spellStart"/>
            <w:r>
              <w:t>Juris</w:t>
            </w:r>
            <w:proofErr w:type="spellEnd"/>
            <w:r>
              <w:t xml:space="preserve"> Partnership</w:t>
            </w:r>
            <w:r w:rsidRPr="00454882">
              <w:t xml:space="preserve"> is responsible for the design, construction and commissioning of the New Facility and Reconditioned Areas to ensure that it is fit for its intended use as a courts facility. </w:t>
            </w:r>
            <w:proofErr w:type="spellStart"/>
            <w:r w:rsidRPr="00454882">
              <w:t>Juris</w:t>
            </w:r>
            <w:proofErr w:type="spellEnd"/>
            <w:r w:rsidRPr="00454882">
              <w:t xml:space="preserve"> Partnership must also comply with Territory’s industry participation policy and requirements.</w:t>
            </w:r>
          </w:p>
        </w:tc>
      </w:tr>
      <w:tr w:rsidR="00454882" w:rsidTr="00454882">
        <w:tc>
          <w:tcPr>
            <w:tcW w:w="1782" w:type="pct"/>
          </w:tcPr>
          <w:p w:rsidR="00454882" w:rsidRPr="00454882" w:rsidRDefault="00454882" w:rsidP="00454882">
            <w:r>
              <w:t>Furniture,</w:t>
            </w:r>
            <w:r w:rsidRPr="00454882">
              <w:t xml:space="preserve"> Fittings and Equipment (FF&amp;E)</w:t>
            </w:r>
          </w:p>
        </w:tc>
        <w:tc>
          <w:tcPr>
            <w:tcW w:w="3218" w:type="pct"/>
          </w:tcPr>
          <w:p w:rsidR="00454882" w:rsidRPr="00454882" w:rsidRDefault="00454882" w:rsidP="005F30EF">
            <w:r>
              <w:t>Procurement,</w:t>
            </w:r>
            <w:r w:rsidRPr="00454882">
              <w:t xml:space="preserve"> installation, commissioning and maintenance of all FF&amp;E (other than those items to be procured and maintained by the Territory). </w:t>
            </w:r>
            <w:r w:rsidR="005F30EF">
              <w:t>A</w:t>
            </w:r>
            <w:r w:rsidRPr="00454882">
              <w:t xml:space="preserve"> detailed indicative list of required FF&amp;E </w:t>
            </w:r>
            <w:r w:rsidR="005F30EF">
              <w:t xml:space="preserve">is </w:t>
            </w:r>
            <w:r w:rsidRPr="00454882">
              <w:t xml:space="preserve">appended to the Project Agreement. </w:t>
            </w:r>
            <w:proofErr w:type="spellStart"/>
            <w:r w:rsidRPr="00454882">
              <w:t>Juris</w:t>
            </w:r>
            <w:proofErr w:type="spellEnd"/>
            <w:r w:rsidRPr="00454882">
              <w:t xml:space="preserve"> Partnership takes the risk that the FF&amp;E provided is adequate and otherwise fit for its intended purpose. The Territory has some flexibility to comment on the final type and quantity of all FF&amp;E.</w:t>
            </w:r>
          </w:p>
        </w:tc>
      </w:tr>
      <w:tr w:rsidR="0031758D" w:rsidTr="00454882">
        <w:tc>
          <w:tcPr>
            <w:tcW w:w="1782" w:type="pct"/>
          </w:tcPr>
          <w:p w:rsidR="0031758D" w:rsidRDefault="0031758D" w:rsidP="00454882">
            <w:r>
              <w:t>Interim Services</w:t>
            </w:r>
          </w:p>
        </w:tc>
        <w:tc>
          <w:tcPr>
            <w:tcW w:w="3218" w:type="pct"/>
          </w:tcPr>
          <w:p w:rsidR="0031758D" w:rsidRDefault="0031758D" w:rsidP="0031758D">
            <w:r>
              <w:t xml:space="preserve">Interim Services are provided during the D&amp;C Phase prior to Stage 1 Completion and consist of: </w:t>
            </w:r>
          </w:p>
          <w:p w:rsidR="0031758D" w:rsidRDefault="0031758D" w:rsidP="0031758D">
            <w:pPr>
              <w:pStyle w:val="TableBullet1ListBullet3"/>
            </w:pPr>
            <w:r>
              <w:t>providing a help desk function;</w:t>
            </w:r>
          </w:p>
          <w:p w:rsidR="0031758D" w:rsidRDefault="0031758D" w:rsidP="0031758D">
            <w:pPr>
              <w:pStyle w:val="TableBullet1ListBullet3"/>
            </w:pPr>
            <w:r>
              <w:t xml:space="preserve">planned preventative maintenance and defect rectification </w:t>
            </w:r>
            <w:r w:rsidR="008A3CCD">
              <w:t>services to the existing Magistrate’s and Supreme Court buildings; and</w:t>
            </w:r>
          </w:p>
          <w:p w:rsidR="0031758D" w:rsidRDefault="008A3CCD" w:rsidP="008A3CCD">
            <w:pPr>
              <w:pStyle w:val="TableBullet1ListBullet3"/>
            </w:pPr>
            <w:proofErr w:type="gramStart"/>
            <w:r>
              <w:t>management</w:t>
            </w:r>
            <w:proofErr w:type="gramEnd"/>
            <w:r>
              <w:t xml:space="preserve"> of</w:t>
            </w:r>
            <w:r w:rsidR="0031758D">
              <w:t xml:space="preserve"> existing services contracts including security, cleaning, recording and transcription services, pest control and waste management and disposal service</w:t>
            </w:r>
            <w:r>
              <w:t>s.</w:t>
            </w:r>
          </w:p>
        </w:tc>
      </w:tr>
      <w:tr w:rsidR="00454882" w:rsidRPr="003716A8" w:rsidTr="00454882">
        <w:tc>
          <w:tcPr>
            <w:tcW w:w="1782" w:type="pct"/>
          </w:tcPr>
          <w:p w:rsidR="00454882" w:rsidRPr="003716A8" w:rsidRDefault="00454882" w:rsidP="00454882">
            <w:r w:rsidRPr="003716A8">
              <w:t>Services</w:t>
            </w:r>
          </w:p>
        </w:tc>
        <w:tc>
          <w:tcPr>
            <w:tcW w:w="3218" w:type="pct"/>
          </w:tcPr>
          <w:p w:rsidR="00454882" w:rsidRPr="00454882" w:rsidRDefault="00454882" w:rsidP="00454882">
            <w:proofErr w:type="spellStart"/>
            <w:r>
              <w:t>Juris</w:t>
            </w:r>
            <w:proofErr w:type="spellEnd"/>
            <w:r>
              <w:t xml:space="preserve"> Partnership</w:t>
            </w:r>
            <w:r w:rsidRPr="00454882">
              <w:t xml:space="preserve"> is responsible for the delivery of a range of facility management services (Services) in the Courts Facility in accordance with the Services Specification commencing at Commercial Acceptance of Stage 1 and for a period of 25 years from Commercial Acceptance of Stage 2B. These services include:</w:t>
            </w:r>
          </w:p>
          <w:p w:rsidR="00454882" w:rsidRPr="003716A8" w:rsidRDefault="00454882" w:rsidP="00454882">
            <w:pPr>
              <w:pStyle w:val="TableBullet1ListBullet3"/>
            </w:pPr>
            <w:r w:rsidRPr="003716A8">
              <w:t>building management (reactive/planned as well as lifecycle replacement)</w:t>
            </w:r>
          </w:p>
          <w:p w:rsidR="00454882" w:rsidRPr="003716A8" w:rsidRDefault="00454882" w:rsidP="00454882">
            <w:pPr>
              <w:pStyle w:val="TableBullet1ListBullet3"/>
            </w:pPr>
            <w:r w:rsidRPr="003716A8">
              <w:t>help desk</w:t>
            </w:r>
          </w:p>
          <w:p w:rsidR="00454882" w:rsidRPr="00454882" w:rsidRDefault="00454882" w:rsidP="00454882">
            <w:pPr>
              <w:pStyle w:val="TableBullet1ListBullet3"/>
            </w:pPr>
            <w:r w:rsidRPr="003716A8">
              <w:t>utilities management</w:t>
            </w:r>
          </w:p>
          <w:p w:rsidR="00454882" w:rsidRPr="00454882" w:rsidRDefault="00454882" w:rsidP="00454882">
            <w:pPr>
              <w:pStyle w:val="TableBullet1ListBullet3"/>
            </w:pPr>
            <w:r>
              <w:t>recording and transcription services</w:t>
            </w:r>
          </w:p>
          <w:p w:rsidR="00454882" w:rsidRPr="003716A8" w:rsidRDefault="00454882" w:rsidP="00454882">
            <w:pPr>
              <w:pStyle w:val="TableBullet1ListBullet3"/>
            </w:pPr>
            <w:r w:rsidRPr="003716A8">
              <w:t>cleaning</w:t>
            </w:r>
          </w:p>
          <w:p w:rsidR="00454882" w:rsidRPr="00454882" w:rsidRDefault="00454882" w:rsidP="00454882">
            <w:pPr>
              <w:pStyle w:val="TableBullet1ListBullet3"/>
            </w:pPr>
            <w:r w:rsidRPr="003716A8">
              <w:t>security</w:t>
            </w:r>
            <w:r w:rsidRPr="00454882">
              <w:t xml:space="preserve"> (excluding custodial)</w:t>
            </w:r>
          </w:p>
          <w:p w:rsidR="00454882" w:rsidRPr="003716A8" w:rsidRDefault="00454882" w:rsidP="00454882">
            <w:pPr>
              <w:pStyle w:val="TableBullet1ListBullet3"/>
            </w:pPr>
            <w:r w:rsidRPr="003716A8">
              <w:t>waste management and disposal</w:t>
            </w:r>
          </w:p>
          <w:p w:rsidR="00454882" w:rsidRPr="00454882" w:rsidRDefault="00454882" w:rsidP="00454882">
            <w:pPr>
              <w:pStyle w:val="TableBullet1ListBullet3"/>
            </w:pPr>
            <w:r w:rsidRPr="003716A8">
              <w:t>grounds maintenance</w:t>
            </w:r>
          </w:p>
          <w:p w:rsidR="00454882" w:rsidRPr="00454882" w:rsidRDefault="00454882" w:rsidP="00454882">
            <w:proofErr w:type="spellStart"/>
            <w:r w:rsidRPr="003A0DEE">
              <w:t>Juris</w:t>
            </w:r>
            <w:proofErr w:type="spellEnd"/>
            <w:r w:rsidRPr="003A0DEE">
              <w:t xml:space="preserve"> Partnership</w:t>
            </w:r>
            <w:r w:rsidRPr="00454882">
              <w:t xml:space="preserve"> is responsible for whole-of-life risk associated with the Courts Facility as well as all scheduled and unscheduled maintenance.</w:t>
            </w:r>
          </w:p>
        </w:tc>
      </w:tr>
      <w:tr w:rsidR="00454882" w:rsidRPr="003716A8" w:rsidTr="00454882">
        <w:tc>
          <w:tcPr>
            <w:tcW w:w="1782" w:type="pct"/>
          </w:tcPr>
          <w:p w:rsidR="00454882" w:rsidRPr="00454882" w:rsidRDefault="00454882" w:rsidP="00454882">
            <w:r>
              <w:lastRenderedPageBreak/>
              <w:t>Insurances</w:t>
            </w:r>
          </w:p>
        </w:tc>
        <w:tc>
          <w:tcPr>
            <w:tcW w:w="3218" w:type="pct"/>
          </w:tcPr>
          <w:p w:rsidR="00454882" w:rsidRPr="00454882" w:rsidRDefault="00454882" w:rsidP="00454882">
            <w:proofErr w:type="spellStart"/>
            <w:r>
              <w:t>Juris</w:t>
            </w:r>
            <w:proofErr w:type="spellEnd"/>
            <w:r>
              <w:t xml:space="preserve"> Partnership</w:t>
            </w:r>
            <w:r w:rsidRPr="00454882">
              <w:t xml:space="preserve"> is required to take out a range of insurances in relation to the Courts Facility during both the design and construction and operating phases of the Project.</w:t>
            </w:r>
          </w:p>
        </w:tc>
      </w:tr>
      <w:tr w:rsidR="00454882" w:rsidRPr="003716A8" w:rsidTr="00454882">
        <w:tc>
          <w:tcPr>
            <w:tcW w:w="1782" w:type="pct"/>
          </w:tcPr>
          <w:p w:rsidR="00454882" w:rsidRDefault="00454882" w:rsidP="00454882">
            <w:r>
              <w:t>Transition</w:t>
            </w:r>
          </w:p>
        </w:tc>
        <w:tc>
          <w:tcPr>
            <w:tcW w:w="3218" w:type="pct"/>
          </w:tcPr>
          <w:p w:rsidR="00454882" w:rsidRPr="00454882" w:rsidRDefault="00454882" w:rsidP="00454882">
            <w:r>
              <w:t xml:space="preserve">Management, coordination and execution of activities (excluding core </w:t>
            </w:r>
            <w:r w:rsidRPr="00454882">
              <w:t xml:space="preserve">judicial functions) to </w:t>
            </w:r>
            <w:r w:rsidR="00D60A99">
              <w:t xml:space="preserve">progressively </w:t>
            </w:r>
            <w:r w:rsidRPr="00454882">
              <w:t>relocate operations from existing areas to new or refurbished locations in the New Facility and Reconditioned Areas.</w:t>
            </w:r>
          </w:p>
        </w:tc>
      </w:tr>
      <w:tr w:rsidR="00454882" w:rsidRPr="003716A8" w:rsidTr="00454882">
        <w:tc>
          <w:tcPr>
            <w:tcW w:w="1782" w:type="pct"/>
          </w:tcPr>
          <w:p w:rsidR="00454882" w:rsidRDefault="00454882" w:rsidP="00454882">
            <w:r>
              <w:t>Finance</w:t>
            </w:r>
          </w:p>
        </w:tc>
        <w:tc>
          <w:tcPr>
            <w:tcW w:w="3218" w:type="pct"/>
          </w:tcPr>
          <w:p w:rsidR="00454882" w:rsidRDefault="00454882" w:rsidP="00454882">
            <w:r>
              <w:t>Procurement of debt and equity to fund the delivery of the Project.</w:t>
            </w:r>
          </w:p>
        </w:tc>
      </w:tr>
      <w:tr w:rsidR="00454882" w:rsidRPr="003716A8" w:rsidTr="00454882">
        <w:tc>
          <w:tcPr>
            <w:tcW w:w="1782" w:type="pct"/>
          </w:tcPr>
          <w:p w:rsidR="00454882" w:rsidRDefault="00454882" w:rsidP="00454882">
            <w:proofErr w:type="spellStart"/>
            <w:r>
              <w:t>Handback</w:t>
            </w:r>
            <w:proofErr w:type="spellEnd"/>
          </w:p>
        </w:tc>
        <w:tc>
          <w:tcPr>
            <w:tcW w:w="3218" w:type="pct"/>
          </w:tcPr>
          <w:p w:rsidR="00454882" w:rsidRPr="00454882" w:rsidRDefault="00454882" w:rsidP="00454882">
            <w:r>
              <w:t xml:space="preserve">Undertake all necessary tasks to ensure that the </w:t>
            </w:r>
            <w:r w:rsidRPr="00454882">
              <w:t>Courts Facility and Site are returned to the Territory in accordance with the end of term requirements set out in the Project Agreement.</w:t>
            </w:r>
          </w:p>
        </w:tc>
      </w:tr>
      <w:tr w:rsidR="00454882" w:rsidRPr="003716A8" w:rsidTr="00454882">
        <w:tc>
          <w:tcPr>
            <w:tcW w:w="1782" w:type="pct"/>
          </w:tcPr>
          <w:p w:rsidR="00454882" w:rsidRDefault="00454882" w:rsidP="00454882">
            <w:r>
              <w:t>Commercial Development</w:t>
            </w:r>
          </w:p>
        </w:tc>
        <w:tc>
          <w:tcPr>
            <w:tcW w:w="3218" w:type="pct"/>
          </w:tcPr>
          <w:p w:rsidR="00454882" w:rsidRPr="00454882" w:rsidRDefault="00454882" w:rsidP="00454882">
            <w:proofErr w:type="spellStart"/>
            <w:r>
              <w:t>Juris</w:t>
            </w:r>
            <w:proofErr w:type="spellEnd"/>
            <w:r>
              <w:t xml:space="preserve"> Partnership</w:t>
            </w:r>
            <w:r w:rsidRPr="00454882">
              <w:t xml:space="preserve"> is required to design, construct, finance and operate an on-site café.</w:t>
            </w:r>
          </w:p>
        </w:tc>
      </w:tr>
    </w:tbl>
    <w:p w:rsidR="00454882" w:rsidRPr="005C6533" w:rsidRDefault="00454882" w:rsidP="0067732C">
      <w:pPr>
        <w:pStyle w:val="space"/>
      </w:pPr>
    </w:p>
    <w:p w:rsidR="00454882" w:rsidRDefault="00454882" w:rsidP="00454882">
      <w:pPr>
        <w:pStyle w:val="Heading2"/>
      </w:pPr>
      <w:bookmarkStart w:id="53" w:name="_Toc445867808"/>
      <w:bookmarkStart w:id="54" w:name="_Toc453768996"/>
      <w:r>
        <w:t>General Obligations of the Territory</w:t>
      </w:r>
      <w:bookmarkEnd w:id="53"/>
      <w:bookmarkEnd w:id="54"/>
    </w:p>
    <w:p w:rsidR="00454882" w:rsidRPr="00454882" w:rsidRDefault="00454882" w:rsidP="00454882">
      <w:pPr>
        <w:pStyle w:val="Heading4"/>
      </w:pPr>
      <w:r>
        <w:t xml:space="preserve">Delivery of </w:t>
      </w:r>
      <w:r w:rsidR="00C97FE6">
        <w:t>judicial</w:t>
      </w:r>
      <w:r>
        <w:t xml:space="preserve"> functions </w:t>
      </w:r>
    </w:p>
    <w:p w:rsidR="00454882" w:rsidRDefault="00454882" w:rsidP="00454882">
      <w:r>
        <w:t>The ongoing delivery of all judicial and custodial functions will be undertaken by the Territory.</w:t>
      </w:r>
    </w:p>
    <w:p w:rsidR="00454882" w:rsidRDefault="00454882" w:rsidP="00454882">
      <w:pPr>
        <w:pStyle w:val="Heading4"/>
      </w:pPr>
      <w:r>
        <w:t>Other Project Agreement obligations</w:t>
      </w:r>
    </w:p>
    <w:p w:rsidR="00454882" w:rsidRDefault="00454882" w:rsidP="00454882">
      <w:r>
        <w:t>Under the Project Agreement, the Territory</w:t>
      </w:r>
      <w:r w:rsidR="00683E5E">
        <w:t>’</w:t>
      </w:r>
      <w:r>
        <w:t>s obligations include the following:</w:t>
      </w:r>
    </w:p>
    <w:p w:rsidR="00454882" w:rsidRDefault="00454882" w:rsidP="00454882">
      <w:pPr>
        <w:pStyle w:val="ListBullet"/>
      </w:pPr>
      <w:r>
        <w:t xml:space="preserve">the Territory must (subject always to the Territory’s access requirements for delivery of its core functions) provide </w:t>
      </w:r>
      <w:proofErr w:type="spellStart"/>
      <w:r>
        <w:t>Juris</w:t>
      </w:r>
      <w:proofErr w:type="spellEnd"/>
      <w:r>
        <w:t xml:space="preserve"> Partnership with the necessary access to allow it to perform its obligations</w:t>
      </w:r>
    </w:p>
    <w:p w:rsidR="00454882" w:rsidRDefault="00454882" w:rsidP="00454882">
      <w:pPr>
        <w:pStyle w:val="ListBullet"/>
      </w:pPr>
      <w:r>
        <w:t xml:space="preserve">to pay the MSP to </w:t>
      </w:r>
      <w:proofErr w:type="spellStart"/>
      <w:r>
        <w:t>Juris</w:t>
      </w:r>
      <w:proofErr w:type="spellEnd"/>
      <w:r>
        <w:t xml:space="preserve"> Partnership during the </w:t>
      </w:r>
      <w:r w:rsidR="00683E5E">
        <w:t>Services Phase</w:t>
      </w:r>
      <w:r>
        <w:t xml:space="preserve"> subject to the abatement regime that may apply if Services are not delivered to the required standard (see Section </w:t>
      </w:r>
      <w:r w:rsidR="00016AC7">
        <w:fldChar w:fldCharType="begin" w:fldLock="1"/>
      </w:r>
      <w:r>
        <w:instrText xml:space="preserve"> REF _Ref445863089 \r \h </w:instrText>
      </w:r>
      <w:r w:rsidR="00016AC7">
        <w:fldChar w:fldCharType="separate"/>
      </w:r>
      <w:r w:rsidR="0067732C">
        <w:t>2.6</w:t>
      </w:r>
      <w:r w:rsidR="00016AC7">
        <w:fldChar w:fldCharType="end"/>
      </w:r>
      <w:r>
        <w:t xml:space="preserve"> (Payment Mechanism and Abatement Regime) for more detail)</w:t>
      </w:r>
    </w:p>
    <w:p w:rsidR="00454882" w:rsidRDefault="00454882" w:rsidP="00454882">
      <w:pPr>
        <w:pStyle w:val="ListBullet"/>
      </w:pPr>
      <w:r>
        <w:t xml:space="preserve">the Territory may review and comment on design documentation and other material that will be submitted by </w:t>
      </w:r>
      <w:proofErr w:type="spellStart"/>
      <w:r>
        <w:t>Juris</w:t>
      </w:r>
      <w:proofErr w:type="spellEnd"/>
      <w:r>
        <w:t xml:space="preserve"> Partnership in accordance with the Project Agreement </w:t>
      </w:r>
    </w:p>
    <w:p w:rsidR="00454882" w:rsidRDefault="00454882" w:rsidP="00454882">
      <w:pPr>
        <w:pStyle w:val="ListBullet"/>
      </w:pPr>
      <w:proofErr w:type="gramStart"/>
      <w:r>
        <w:t>the</w:t>
      </w:r>
      <w:proofErr w:type="gramEnd"/>
      <w:r>
        <w:t xml:space="preserve"> Territory must pay for any utilities usage costs during the </w:t>
      </w:r>
      <w:r w:rsidR="00683E5E">
        <w:t>Services Phase.</w:t>
      </w:r>
    </w:p>
    <w:p w:rsidR="00454882" w:rsidRDefault="00454882" w:rsidP="00454882">
      <w:pPr>
        <w:pStyle w:val="Heading2"/>
      </w:pPr>
      <w:bookmarkStart w:id="55" w:name="_Ref445863084"/>
      <w:bookmarkStart w:id="56" w:name="_Ref445863089"/>
      <w:bookmarkStart w:id="57" w:name="_Toc445867809"/>
      <w:bookmarkStart w:id="58" w:name="_Toc453768997"/>
      <w:r>
        <w:t>Payment Mechanism and Abatement Regime</w:t>
      </w:r>
      <w:bookmarkEnd w:id="55"/>
      <w:bookmarkEnd w:id="56"/>
      <w:bookmarkEnd w:id="57"/>
      <w:bookmarkEnd w:id="58"/>
    </w:p>
    <w:p w:rsidR="00454882" w:rsidRPr="00D309B0" w:rsidRDefault="00454882" w:rsidP="00454882">
      <w:proofErr w:type="spellStart"/>
      <w:r w:rsidRPr="00D309B0">
        <w:t>Juris</w:t>
      </w:r>
      <w:proofErr w:type="spellEnd"/>
      <w:r w:rsidRPr="00D309B0">
        <w:t xml:space="preserve"> Partnership is required to provide the Services as specified in the Services Specification from</w:t>
      </w:r>
      <w:r w:rsidR="005F30EF">
        <w:t xml:space="preserve"> </w:t>
      </w:r>
      <w:r w:rsidRPr="00D309B0">
        <w:t xml:space="preserve">Commercial Acceptance of Stage 1 (i.e. when the New Facility (excluding the part occupying the existing Supreme Court Building) and Reconditioned Areas are complete and commissioned). Failure to do so </w:t>
      </w:r>
      <w:proofErr w:type="gramStart"/>
      <w:r w:rsidRPr="00D309B0">
        <w:t>exposes</w:t>
      </w:r>
      <w:proofErr w:type="gramEnd"/>
      <w:r w:rsidRPr="00D309B0">
        <w:t xml:space="preserve"> </w:t>
      </w:r>
      <w:proofErr w:type="spellStart"/>
      <w:r w:rsidRPr="00D309B0">
        <w:t>Juris</w:t>
      </w:r>
      <w:proofErr w:type="spellEnd"/>
      <w:r w:rsidRPr="00D309B0">
        <w:t xml:space="preserve"> Partnership to abatement in accordance with the abatement regime set out in the Project Agreement.</w:t>
      </w:r>
    </w:p>
    <w:p w:rsidR="00454882" w:rsidRPr="00D309B0" w:rsidRDefault="00454882" w:rsidP="00454882">
      <w:r w:rsidRPr="00D309B0">
        <w:lastRenderedPageBreak/>
        <w:t xml:space="preserve">Payment for delivery of the Services is made by the Territory over the 25-year </w:t>
      </w:r>
      <w:r w:rsidR="00683E5E">
        <w:t>Services Phase</w:t>
      </w:r>
      <w:r w:rsidRPr="00D309B0">
        <w:t xml:space="preserve"> in the form of the MSP, which is paid monthly in arrears. The formula for calculating the MSP is detailed in the Project Agreement. The MSP comprises payments made to </w:t>
      </w:r>
      <w:proofErr w:type="spellStart"/>
      <w:r w:rsidRPr="00D309B0">
        <w:t>Juris</w:t>
      </w:r>
      <w:proofErr w:type="spellEnd"/>
      <w:r w:rsidRPr="00D309B0">
        <w:t xml:space="preserve"> Partnership by the Territory for the capital cost of delivering the New Facility and Reconditioned Areas including financing costs</w:t>
      </w:r>
      <w:r w:rsidR="005F30EF">
        <w:t xml:space="preserve"> and</w:t>
      </w:r>
      <w:r w:rsidRPr="00D309B0">
        <w:t xml:space="preserve"> the cost of delivering the Services.</w:t>
      </w:r>
    </w:p>
    <w:p w:rsidR="00454882" w:rsidRPr="00454882" w:rsidRDefault="00454882" w:rsidP="00454882">
      <w:pPr>
        <w:pStyle w:val="Heading4"/>
      </w:pPr>
      <w:r>
        <w:t>Abatement</w:t>
      </w:r>
      <w:r w:rsidRPr="00454882">
        <w:t xml:space="preserve"> regime</w:t>
      </w:r>
    </w:p>
    <w:p w:rsidR="00454882" w:rsidRPr="00D309B0" w:rsidRDefault="00454882" w:rsidP="00454882">
      <w:r w:rsidRPr="00D309B0">
        <w:t xml:space="preserve">Any failure by </w:t>
      </w:r>
      <w:proofErr w:type="spellStart"/>
      <w:r w:rsidRPr="00D309B0">
        <w:t>Juris</w:t>
      </w:r>
      <w:proofErr w:type="spellEnd"/>
      <w:r w:rsidRPr="00D309B0">
        <w:t xml:space="preserve"> Partnership to provide the Services or to have areas of the </w:t>
      </w:r>
      <w:r>
        <w:t>Courts</w:t>
      </w:r>
      <w:r w:rsidRPr="00D309B0">
        <w:t xml:space="preserve"> Facility available in accordance with the Services Specification may constitute a ‘Service Failure’ and potentially result in a reduction of the MSP (in accordance with a pre-determined formula specified in the Project Agreement).</w:t>
      </w:r>
    </w:p>
    <w:p w:rsidR="00454882" w:rsidRPr="00D309B0" w:rsidRDefault="00454882" w:rsidP="00454882">
      <w:r w:rsidRPr="00D309B0">
        <w:t>The Project Agreement categorises each service failure as either a:</w:t>
      </w:r>
    </w:p>
    <w:p w:rsidR="00454882" w:rsidRPr="007F567E" w:rsidRDefault="00454882" w:rsidP="00454882">
      <w:pPr>
        <w:pStyle w:val="ListBullet"/>
      </w:pPr>
      <w:r w:rsidRPr="007F567E">
        <w:t xml:space="preserve">Failure Event – a </w:t>
      </w:r>
      <w:r w:rsidR="00D60A99">
        <w:t>S</w:t>
      </w:r>
      <w:r w:rsidRPr="007F567E">
        <w:t xml:space="preserve">ervice </w:t>
      </w:r>
      <w:r w:rsidR="00D60A99">
        <w:t>F</w:t>
      </w:r>
      <w:r w:rsidRPr="007F567E">
        <w:t xml:space="preserve">ailure that affects one or more specific areas of the Courts Facility. Where certain defined events </w:t>
      </w:r>
      <w:r w:rsidR="00D60A99" w:rsidRPr="00D60A99">
        <w:t>prevent or materially impacts the</w:t>
      </w:r>
      <w:r w:rsidR="00D60A99">
        <w:t xml:space="preserve"> </w:t>
      </w:r>
      <w:r w:rsidRPr="007F567E">
        <w:t xml:space="preserve">use </w:t>
      </w:r>
      <w:r w:rsidR="00D60A99">
        <w:t xml:space="preserve">of a relevant area </w:t>
      </w:r>
      <w:r w:rsidRPr="007F567E">
        <w:t>for its intended function it is deemed to be an ‘Availability Failure’; otherwise it is considered to be a</w:t>
      </w:r>
      <w:r w:rsidR="00D60A99">
        <w:t>n</w:t>
      </w:r>
      <w:r w:rsidRPr="007F567E">
        <w:t xml:space="preserve"> ‘Incident Failure; or</w:t>
      </w:r>
    </w:p>
    <w:p w:rsidR="00454882" w:rsidRDefault="00454882" w:rsidP="00454882">
      <w:pPr>
        <w:pStyle w:val="ListBullet"/>
      </w:pPr>
      <w:r w:rsidRPr="00454882">
        <w:t xml:space="preserve">Quality Failure </w:t>
      </w:r>
      <w:r>
        <w:t>–</w:t>
      </w:r>
      <w:r w:rsidRPr="00454882">
        <w:t xml:space="preserve"> </w:t>
      </w:r>
      <w:r>
        <w:t>certain</w:t>
      </w:r>
      <w:r w:rsidRPr="00454882">
        <w:t xml:space="preserve"> </w:t>
      </w:r>
      <w:r>
        <w:t>other</w:t>
      </w:r>
      <w:r w:rsidRPr="00454882">
        <w:t xml:space="preserve"> </w:t>
      </w:r>
      <w:r w:rsidR="00D60A99">
        <w:t>S</w:t>
      </w:r>
      <w:r>
        <w:t>ervice</w:t>
      </w:r>
      <w:r w:rsidRPr="00454882">
        <w:t xml:space="preserve"> </w:t>
      </w:r>
      <w:r w:rsidR="00D60A99">
        <w:t>F</w:t>
      </w:r>
      <w:r>
        <w:t>ailures</w:t>
      </w:r>
      <w:r w:rsidRPr="00454882">
        <w:t xml:space="preserve"> </w:t>
      </w:r>
      <w:r>
        <w:t>defined</w:t>
      </w:r>
      <w:r w:rsidRPr="00454882">
        <w:t xml:space="preserve"> in </w:t>
      </w:r>
      <w:r>
        <w:t>the</w:t>
      </w:r>
      <w:r w:rsidRPr="00454882">
        <w:t xml:space="preserve"> </w:t>
      </w:r>
      <w:r>
        <w:t>Service</w:t>
      </w:r>
      <w:r w:rsidRPr="00454882">
        <w:t xml:space="preserve"> </w:t>
      </w:r>
      <w:r>
        <w:t>Specifications</w:t>
      </w:r>
      <w:r w:rsidRPr="00454882">
        <w:t xml:space="preserve"> </w:t>
      </w:r>
      <w:r w:rsidR="00D60A99">
        <w:t>(</w:t>
      </w:r>
      <w:r>
        <w:t>not</w:t>
      </w:r>
      <w:r w:rsidRPr="00454882">
        <w:t xml:space="preserve"> </w:t>
      </w:r>
      <w:r w:rsidR="00D60A99">
        <w:t xml:space="preserve">generally </w:t>
      </w:r>
      <w:r>
        <w:t>referrable</w:t>
      </w:r>
      <w:r w:rsidRPr="00454882">
        <w:t xml:space="preserve"> </w:t>
      </w:r>
      <w:r>
        <w:t>to</w:t>
      </w:r>
      <w:r w:rsidRPr="00454882">
        <w:t xml:space="preserve"> </w:t>
      </w:r>
      <w:r>
        <w:t>a</w:t>
      </w:r>
      <w:r w:rsidRPr="00454882">
        <w:t xml:space="preserve"> </w:t>
      </w:r>
      <w:r>
        <w:t>specific</w:t>
      </w:r>
      <w:r w:rsidRPr="00454882">
        <w:t xml:space="preserve"> </w:t>
      </w:r>
      <w:r>
        <w:t>area</w:t>
      </w:r>
      <w:r w:rsidRPr="00454882">
        <w:t xml:space="preserve"> </w:t>
      </w:r>
      <w:r>
        <w:t>in</w:t>
      </w:r>
      <w:r w:rsidRPr="00454882">
        <w:t xml:space="preserve"> </w:t>
      </w:r>
      <w:r>
        <w:t>the</w:t>
      </w:r>
      <w:r w:rsidRPr="00454882">
        <w:t xml:space="preserve"> </w:t>
      </w:r>
      <w:r>
        <w:t>Courts</w:t>
      </w:r>
      <w:r w:rsidRPr="00454882">
        <w:t xml:space="preserve"> </w:t>
      </w:r>
      <w:r>
        <w:t>Facility</w:t>
      </w:r>
      <w:r w:rsidR="00D60A99">
        <w:t xml:space="preserve">) </w:t>
      </w:r>
      <w:r w:rsidR="00D60A99" w:rsidRPr="00D60A99">
        <w:t>which occur as a consequence of a failure to satisfy the Service Requirements</w:t>
      </w:r>
      <w:r>
        <w:t>.</w:t>
      </w:r>
    </w:p>
    <w:p w:rsidR="00454882" w:rsidRPr="00D309B0" w:rsidRDefault="00454882" w:rsidP="00454882">
      <w:r w:rsidRPr="00D309B0">
        <w:t xml:space="preserve">A Failure Event is categorised depending on the severity of its potential consequences, taking into account the significance of the area affected and how important it is that the area be made available, for example, non-availability of </w:t>
      </w:r>
      <w:r>
        <w:t>a court room</w:t>
      </w:r>
      <w:r w:rsidRPr="00D309B0">
        <w:t xml:space="preserve"> attracts a larger reduction than a </w:t>
      </w:r>
      <w:r>
        <w:t>general meeting room</w:t>
      </w:r>
      <w:r w:rsidRPr="00D309B0">
        <w:t>. This in turn determine</w:t>
      </w:r>
      <w:r w:rsidR="00D60A99">
        <w:t>s</w:t>
      </w:r>
      <w:r w:rsidRPr="00D309B0">
        <w:t xml:space="preserve"> the response and rectification time that appl</w:t>
      </w:r>
      <w:r w:rsidR="00D60A99">
        <w:t>ies</w:t>
      </w:r>
      <w:r w:rsidRPr="00D309B0">
        <w:t xml:space="preserve">. The abatement regime also recognises smaller failures that do not render a space unusable, but nevertheless impact on the ability to provide the required </w:t>
      </w:r>
      <w:r w:rsidR="00D60A99">
        <w:t>S</w:t>
      </w:r>
      <w:r w:rsidRPr="00D309B0">
        <w:t>ervices.</w:t>
      </w:r>
    </w:p>
    <w:p w:rsidR="00454882" w:rsidRDefault="00454882" w:rsidP="00454882">
      <w:r w:rsidRPr="00D309B0">
        <w:t xml:space="preserve">Each Quality Failure event is categorised based on the nature, severity and level of priority. Each category specifies an appropriate response time and rectification time which </w:t>
      </w:r>
      <w:proofErr w:type="spellStart"/>
      <w:r w:rsidRPr="00D309B0">
        <w:t>Juris</w:t>
      </w:r>
      <w:proofErr w:type="spellEnd"/>
      <w:r w:rsidRPr="00D309B0">
        <w:t xml:space="preserve"> Partnership must adhere to (outlined in the Services Specification). Failure by </w:t>
      </w:r>
      <w:proofErr w:type="spellStart"/>
      <w:r w:rsidRPr="00D309B0">
        <w:t>Juris</w:t>
      </w:r>
      <w:proofErr w:type="spellEnd"/>
      <w:r w:rsidRPr="00D309B0">
        <w:t xml:space="preserve"> Partnership to respond </w:t>
      </w:r>
      <w:r w:rsidR="00D60A99">
        <w:t xml:space="preserve">to </w:t>
      </w:r>
      <w:r w:rsidRPr="00D309B0">
        <w:t>and rectify any Quality Failure may result in abatement.</w:t>
      </w:r>
    </w:p>
    <w:p w:rsidR="008A3CCD" w:rsidRDefault="008A3CCD" w:rsidP="008A3CCD">
      <w:pPr>
        <w:pStyle w:val="Heading4"/>
      </w:pPr>
      <w:r>
        <w:t xml:space="preserve">Interim Services </w:t>
      </w:r>
    </w:p>
    <w:p w:rsidR="008A3CCD" w:rsidRDefault="008A3CCD" w:rsidP="008A3CCD">
      <w:r>
        <w:t xml:space="preserve">The Interim Services are paid for separately by way of a fixed monthly Interim Services Fee and reimbursement for certain defect rectification on a cost plus margin basis above a pre-set threshold (below which </w:t>
      </w:r>
      <w:proofErr w:type="spellStart"/>
      <w:r>
        <w:t>Juris</w:t>
      </w:r>
      <w:proofErr w:type="spellEnd"/>
      <w:r>
        <w:t xml:space="preserve"> Partnership bears the cost).</w:t>
      </w:r>
    </w:p>
    <w:p w:rsidR="008A3CCD" w:rsidRPr="00D309B0" w:rsidRDefault="008A3CCD" w:rsidP="008A3CCD">
      <w:r>
        <w:t xml:space="preserve">There is no abatement for performance of the Interim Services however, if </w:t>
      </w:r>
      <w:proofErr w:type="spellStart"/>
      <w:r>
        <w:t>Juris</w:t>
      </w:r>
      <w:proofErr w:type="spellEnd"/>
      <w:r>
        <w:t xml:space="preserve"> Partnership fails to perform, the Territory may elect to direct a Modification to remove all or part of the Interim Services.</w:t>
      </w:r>
    </w:p>
    <w:p w:rsidR="00454882" w:rsidRPr="00454882" w:rsidRDefault="00454882" w:rsidP="00454882">
      <w:pPr>
        <w:pStyle w:val="Heading4"/>
      </w:pPr>
      <w:r w:rsidRPr="00D309B0">
        <w:t xml:space="preserve">Changes in costs incurred by </w:t>
      </w:r>
      <w:proofErr w:type="spellStart"/>
      <w:r w:rsidRPr="00454882">
        <w:t>Juris</w:t>
      </w:r>
      <w:proofErr w:type="spellEnd"/>
      <w:r w:rsidRPr="00454882">
        <w:t xml:space="preserve"> Partnership (including Modifications and Changes in Law)</w:t>
      </w:r>
    </w:p>
    <w:p w:rsidR="00454882" w:rsidRPr="00D309B0" w:rsidRDefault="00454882" w:rsidP="00454882">
      <w:r w:rsidRPr="00D309B0">
        <w:t xml:space="preserve">The Territory has flexibility to make changes to the </w:t>
      </w:r>
      <w:r>
        <w:t>Courts</w:t>
      </w:r>
      <w:r w:rsidRPr="00D309B0">
        <w:t xml:space="preserve"> Facility over the Term of the Project Agreement. The Territory may, at its sole </w:t>
      </w:r>
      <w:proofErr w:type="gramStart"/>
      <w:r w:rsidRPr="00D309B0">
        <w:t>discretion,</w:t>
      </w:r>
      <w:proofErr w:type="gramEnd"/>
      <w:r w:rsidRPr="00D309B0">
        <w:t xml:space="preserve"> request </w:t>
      </w:r>
      <w:proofErr w:type="spellStart"/>
      <w:r w:rsidRPr="00D309B0">
        <w:t>Juris</w:t>
      </w:r>
      <w:proofErr w:type="spellEnd"/>
      <w:r w:rsidRPr="00D309B0">
        <w:t xml:space="preserve"> Partnership to implement </w:t>
      </w:r>
      <w:r w:rsidRPr="00D309B0">
        <w:lastRenderedPageBreak/>
        <w:t>modifications (to the Works</w:t>
      </w:r>
      <w:r>
        <w:t xml:space="preserve"> </w:t>
      </w:r>
      <w:r w:rsidRPr="00D309B0">
        <w:t>/</w:t>
      </w:r>
      <w:r>
        <w:t xml:space="preserve"> Courts</w:t>
      </w:r>
      <w:r w:rsidRPr="00D309B0">
        <w:t xml:space="preserve"> Facility, Services or </w:t>
      </w:r>
      <w:r>
        <w:t xml:space="preserve">the </w:t>
      </w:r>
      <w:r w:rsidRPr="00D309B0">
        <w:t xml:space="preserve">FF&amp;E it is required to procure) provided the Territory compensates </w:t>
      </w:r>
      <w:proofErr w:type="spellStart"/>
      <w:r w:rsidRPr="00D309B0">
        <w:t>Juris</w:t>
      </w:r>
      <w:proofErr w:type="spellEnd"/>
      <w:r w:rsidRPr="00D309B0">
        <w:t xml:space="preserve"> Partnership</w:t>
      </w:r>
      <w:r w:rsidR="00D60A99">
        <w:t xml:space="preserve"> </w:t>
      </w:r>
      <w:r w:rsidR="00D60A99" w:rsidRPr="00D60A99">
        <w:t>in accordance with the pre-determined regime in the Project Agreement</w:t>
      </w:r>
      <w:r w:rsidRPr="00D309B0">
        <w:t xml:space="preserve">. This includes an ability to remove Works or Services from the Project scope. Under the modifications regime, </w:t>
      </w:r>
      <w:proofErr w:type="spellStart"/>
      <w:r w:rsidRPr="00D309B0">
        <w:t>Juris</w:t>
      </w:r>
      <w:proofErr w:type="spellEnd"/>
      <w:r w:rsidRPr="00D309B0">
        <w:t xml:space="preserve"> Partnership must provide an estimate of the cost impact of any modification proposed by the Territory in a manner which complies with the requirements of the Project Agreement. All costs must be provided on an open book basis.</w:t>
      </w:r>
    </w:p>
    <w:p w:rsidR="00454882" w:rsidRPr="00D309B0" w:rsidRDefault="00454882" w:rsidP="00454882">
      <w:r w:rsidRPr="00D309B0">
        <w:t xml:space="preserve">The Territory may pay for the modification either by way of a lump sum, milestone payments, or an adjustment to the MSP (where the modification is financed by </w:t>
      </w:r>
      <w:proofErr w:type="spellStart"/>
      <w:r w:rsidRPr="00D309B0">
        <w:t>Juris</w:t>
      </w:r>
      <w:proofErr w:type="spellEnd"/>
      <w:r w:rsidRPr="00D309B0">
        <w:t xml:space="preserve"> Partnership). To provide greater transparency and certainty around modification costs, the Project Agreement specifies a range of pre-agreed margins and other on-costs </w:t>
      </w:r>
      <w:proofErr w:type="spellStart"/>
      <w:r w:rsidRPr="00D309B0">
        <w:t>Juris</w:t>
      </w:r>
      <w:proofErr w:type="spellEnd"/>
      <w:r w:rsidRPr="00D309B0">
        <w:t xml:space="preserve"> Partnership can claim in such circumstances.</w:t>
      </w:r>
    </w:p>
    <w:p w:rsidR="00454882" w:rsidRPr="00D309B0" w:rsidRDefault="00454882" w:rsidP="00454882">
      <w:r w:rsidRPr="00D309B0">
        <w:t xml:space="preserve">A regime has also been established that will enable the Territory to request </w:t>
      </w:r>
      <w:proofErr w:type="spellStart"/>
      <w:r w:rsidRPr="00D309B0">
        <w:t>Juris</w:t>
      </w:r>
      <w:proofErr w:type="spellEnd"/>
      <w:r w:rsidRPr="00D309B0">
        <w:t xml:space="preserve"> Partnership to perform</w:t>
      </w:r>
      <w:r>
        <w:t xml:space="preserve"> </w:t>
      </w:r>
      <w:r w:rsidRPr="00D309B0">
        <w:t>additional minor works without the need to invoke the modifications regime.</w:t>
      </w:r>
    </w:p>
    <w:p w:rsidR="00454882" w:rsidRPr="007F567E" w:rsidRDefault="00454882" w:rsidP="00454882">
      <w:r w:rsidRPr="007F567E">
        <w:t xml:space="preserve">In addition to Territory-initiated modifications, the Territory must pay for cost increases arising from certain changes in law and policy </w:t>
      </w:r>
      <w:r w:rsidR="00D60A99">
        <w:t>t</w:t>
      </w:r>
      <w:r w:rsidR="00D60A99" w:rsidRPr="00D60A99">
        <w:t>o the extent set out</w:t>
      </w:r>
      <w:r w:rsidR="00D60A99">
        <w:t xml:space="preserve"> </w:t>
      </w:r>
      <w:r w:rsidRPr="007F567E">
        <w:t>in the Project Agreement.</w:t>
      </w:r>
    </w:p>
    <w:p w:rsidR="00454882" w:rsidRPr="007F567E" w:rsidRDefault="00454882" w:rsidP="00454882">
      <w:r w:rsidRPr="007F567E">
        <w:t xml:space="preserve">Subject to certain conditions, </w:t>
      </w:r>
      <w:proofErr w:type="spellStart"/>
      <w:r w:rsidRPr="007F567E">
        <w:t>Juris</w:t>
      </w:r>
      <w:proofErr w:type="spellEnd"/>
      <w:r w:rsidRPr="007F567E">
        <w:t xml:space="preserve"> Partnership may be entitled to performance relief under the Project Agreement and to payment by the Territory of certain additional costs and expenses incurred by it as a result of the following events:</w:t>
      </w:r>
    </w:p>
    <w:p w:rsidR="00454882" w:rsidRDefault="00454882" w:rsidP="00454882">
      <w:pPr>
        <w:pStyle w:val="ListBullet"/>
      </w:pPr>
      <w:r w:rsidRPr="007F567E">
        <w:t>breach by the Territory of any Project Documents</w:t>
      </w:r>
    </w:p>
    <w:p w:rsidR="00D60A99" w:rsidRPr="007F567E" w:rsidRDefault="00D60A99" w:rsidP="00454882">
      <w:pPr>
        <w:pStyle w:val="ListBullet"/>
      </w:pPr>
      <w:r w:rsidRPr="00D60A99">
        <w:t>remediation of contamination for which the Territory is responsible under the Project Agreement</w:t>
      </w:r>
    </w:p>
    <w:p w:rsidR="00D60A99" w:rsidRPr="00B90362" w:rsidRDefault="00D60A99" w:rsidP="00D60A99">
      <w:pPr>
        <w:pStyle w:val="ListBullet"/>
      </w:pPr>
      <w:r w:rsidRPr="00B90362">
        <w:t xml:space="preserve">industrial action which directly affects the Project and which </w:t>
      </w:r>
      <w:proofErr w:type="spellStart"/>
      <w:r w:rsidRPr="00B90362">
        <w:t>Juris</w:t>
      </w:r>
      <w:proofErr w:type="spellEnd"/>
      <w:r w:rsidRPr="00B90362">
        <w:t xml:space="preserve"> Partnership can demonstrate is a direct result of an act or omission of the Territory or a Territory-related party at the Site other than any act or omission which is authorised or permitted</w:t>
      </w:r>
    </w:p>
    <w:p w:rsidR="00D60A99" w:rsidRDefault="00D60A99" w:rsidP="00D60A99">
      <w:pPr>
        <w:pStyle w:val="ListBullet"/>
      </w:pPr>
      <w:r>
        <w:t>suspension</w:t>
      </w:r>
      <w:r w:rsidRPr="00454882">
        <w:t xml:space="preserve"> </w:t>
      </w:r>
      <w:r>
        <w:t>of</w:t>
      </w:r>
      <w:r w:rsidRPr="00454882">
        <w:t xml:space="preserve"> </w:t>
      </w:r>
      <w:r>
        <w:t>the D&amp;C Activities</w:t>
      </w:r>
      <w:r w:rsidRPr="00454882">
        <w:t xml:space="preserve"> </w:t>
      </w:r>
      <w:r>
        <w:t>or</w:t>
      </w:r>
      <w:r w:rsidRPr="00454882">
        <w:t xml:space="preserve"> </w:t>
      </w:r>
      <w:r>
        <w:t>the</w:t>
      </w:r>
      <w:r w:rsidRPr="00454882">
        <w:t xml:space="preserve"> </w:t>
      </w:r>
      <w:r>
        <w:t>delivery</w:t>
      </w:r>
      <w:r w:rsidRPr="00454882">
        <w:t xml:space="preserve"> </w:t>
      </w:r>
      <w:r>
        <w:t>of</w:t>
      </w:r>
      <w:r w:rsidRPr="00454882">
        <w:t xml:space="preserve"> </w:t>
      </w:r>
      <w:r>
        <w:t>the</w:t>
      </w:r>
      <w:r w:rsidRPr="00454882">
        <w:t xml:space="preserve"> </w:t>
      </w:r>
      <w:r>
        <w:t>Services</w:t>
      </w:r>
      <w:r w:rsidRPr="00454882">
        <w:t xml:space="preserve"> </w:t>
      </w:r>
      <w:r>
        <w:t>required</w:t>
      </w:r>
      <w:r w:rsidRPr="00454882">
        <w:t xml:space="preserve"> </w:t>
      </w:r>
      <w:r>
        <w:t>by</w:t>
      </w:r>
      <w:r w:rsidRPr="00454882">
        <w:t xml:space="preserve"> </w:t>
      </w:r>
      <w:r>
        <w:t>law</w:t>
      </w:r>
      <w:r w:rsidRPr="00454882">
        <w:t xml:space="preserve"> </w:t>
      </w:r>
      <w:r>
        <w:t>or</w:t>
      </w:r>
      <w:r w:rsidRPr="00454882">
        <w:t xml:space="preserve"> </w:t>
      </w:r>
      <w:r>
        <w:t>the</w:t>
      </w:r>
      <w:r w:rsidRPr="00454882">
        <w:t xml:space="preserve"> </w:t>
      </w:r>
      <w:r>
        <w:t>Territory</w:t>
      </w:r>
      <w:r w:rsidRPr="00454882">
        <w:t xml:space="preserve"> </w:t>
      </w:r>
      <w:r>
        <w:t>because</w:t>
      </w:r>
      <w:r w:rsidRPr="00454882">
        <w:t xml:space="preserve"> </w:t>
      </w:r>
      <w:r>
        <w:t>of</w:t>
      </w:r>
      <w:r w:rsidRPr="00454882">
        <w:t xml:space="preserve"> </w:t>
      </w:r>
      <w:r>
        <w:t>a</w:t>
      </w:r>
      <w:r w:rsidRPr="00454882">
        <w:t xml:space="preserve"> </w:t>
      </w:r>
      <w:r>
        <w:t>native</w:t>
      </w:r>
      <w:r w:rsidRPr="00454882">
        <w:t xml:space="preserve"> </w:t>
      </w:r>
      <w:r>
        <w:t>title</w:t>
      </w:r>
      <w:r w:rsidRPr="00454882">
        <w:t xml:space="preserve"> </w:t>
      </w:r>
      <w:r>
        <w:t>claim</w:t>
      </w:r>
      <w:r w:rsidRPr="00454882">
        <w:t xml:space="preserve"> </w:t>
      </w:r>
      <w:r>
        <w:t>or</w:t>
      </w:r>
      <w:r w:rsidRPr="00454882">
        <w:t xml:space="preserve"> </w:t>
      </w:r>
      <w:r>
        <w:t>the</w:t>
      </w:r>
      <w:r w:rsidRPr="00454882">
        <w:t xml:space="preserve"> </w:t>
      </w:r>
      <w:r>
        <w:t>discovery</w:t>
      </w:r>
      <w:r w:rsidRPr="00454882">
        <w:t xml:space="preserve"> </w:t>
      </w:r>
      <w:r>
        <w:t>of</w:t>
      </w:r>
      <w:r w:rsidRPr="00454882">
        <w:t xml:space="preserve"> </w:t>
      </w:r>
      <w:r>
        <w:t>artefacts</w:t>
      </w:r>
      <w:r w:rsidRPr="00454882">
        <w:t xml:space="preserve"> </w:t>
      </w:r>
      <w:r>
        <w:t>that</w:t>
      </w:r>
      <w:r w:rsidRPr="00454882">
        <w:t xml:space="preserve"> </w:t>
      </w:r>
      <w:r>
        <w:t>is</w:t>
      </w:r>
      <w:r w:rsidRPr="00454882">
        <w:t xml:space="preserve"> </w:t>
      </w:r>
      <w:r>
        <w:t>not</w:t>
      </w:r>
      <w:r w:rsidRPr="00454882">
        <w:t xml:space="preserve"> </w:t>
      </w:r>
      <w:r>
        <w:t>caused</w:t>
      </w:r>
      <w:r w:rsidRPr="00454882">
        <w:t xml:space="preserve"> </w:t>
      </w:r>
      <w:r>
        <w:t>by</w:t>
      </w:r>
      <w:r w:rsidRPr="00454882">
        <w:t xml:space="preserve"> </w:t>
      </w:r>
      <w:r>
        <w:t>an</w:t>
      </w:r>
      <w:r w:rsidRPr="00454882">
        <w:t xml:space="preserve"> </w:t>
      </w:r>
      <w:r>
        <w:t>act</w:t>
      </w:r>
      <w:r w:rsidRPr="00454882">
        <w:t xml:space="preserve"> </w:t>
      </w:r>
      <w:r>
        <w:t>or</w:t>
      </w:r>
      <w:r w:rsidRPr="00454882">
        <w:t xml:space="preserve"> </w:t>
      </w:r>
      <w:r>
        <w:t>omission</w:t>
      </w:r>
      <w:r w:rsidRPr="00454882">
        <w:t xml:space="preserve"> </w:t>
      </w:r>
      <w:r>
        <w:t>of</w:t>
      </w:r>
      <w:r w:rsidRPr="00454882">
        <w:t xml:space="preserve"> </w:t>
      </w:r>
      <w:proofErr w:type="spellStart"/>
      <w:r>
        <w:t>Juris</w:t>
      </w:r>
      <w:proofErr w:type="spellEnd"/>
      <w:r>
        <w:t xml:space="preserve"> Partnership</w:t>
      </w:r>
    </w:p>
    <w:p w:rsidR="00D60A99" w:rsidRDefault="00D60A99" w:rsidP="00454882">
      <w:pPr>
        <w:pStyle w:val="ListBullet"/>
      </w:pPr>
      <w:r w:rsidRPr="00D60A99">
        <w:t>certain unknown and unforeseeable Site conditions</w:t>
      </w:r>
    </w:p>
    <w:p w:rsidR="00454882" w:rsidRPr="007F567E" w:rsidRDefault="00454882" w:rsidP="00454882">
      <w:pPr>
        <w:pStyle w:val="ListBullet"/>
      </w:pPr>
      <w:r w:rsidRPr="007F567E">
        <w:t xml:space="preserve">during the </w:t>
      </w:r>
      <w:r w:rsidR="005C595E">
        <w:t>D&amp;C</w:t>
      </w:r>
      <w:r w:rsidRPr="007F567E">
        <w:t xml:space="preserve"> Phase, any act or omission of the Territory or relevant Territory-related parties other than any act or omission which is authorised or permitted under the Project Agreement</w:t>
      </w:r>
    </w:p>
    <w:p w:rsidR="00454882" w:rsidRDefault="00454882" w:rsidP="00454882">
      <w:pPr>
        <w:pStyle w:val="ListBullet"/>
      </w:pPr>
      <w:r>
        <w:t>during</w:t>
      </w:r>
      <w:r w:rsidRPr="00454882">
        <w:t xml:space="preserve"> </w:t>
      </w:r>
      <w:r>
        <w:t>the</w:t>
      </w:r>
      <w:r w:rsidRPr="00454882">
        <w:t xml:space="preserve"> </w:t>
      </w:r>
      <w:r w:rsidR="005C595E">
        <w:t>Services Phase</w:t>
      </w:r>
      <w:r>
        <w:t>,</w:t>
      </w:r>
      <w:r w:rsidRPr="00454882">
        <w:t xml:space="preserve"> </w:t>
      </w:r>
      <w:r>
        <w:t>a</w:t>
      </w:r>
      <w:r w:rsidRPr="00454882">
        <w:t xml:space="preserve"> </w:t>
      </w:r>
      <w:r w:rsidR="00D60A99">
        <w:t xml:space="preserve">fraudulent, </w:t>
      </w:r>
      <w:r>
        <w:t>malicious,</w:t>
      </w:r>
      <w:r w:rsidRPr="00454882">
        <w:t xml:space="preserve"> </w:t>
      </w:r>
      <w:r>
        <w:t>unlawful</w:t>
      </w:r>
      <w:r w:rsidRPr="00454882">
        <w:t xml:space="preserve"> </w:t>
      </w:r>
      <w:r>
        <w:t>or</w:t>
      </w:r>
      <w:r w:rsidRPr="00454882">
        <w:t xml:space="preserve"> </w:t>
      </w:r>
      <w:r>
        <w:t>reckless</w:t>
      </w:r>
      <w:r w:rsidRPr="00454882">
        <w:t xml:space="preserve"> </w:t>
      </w:r>
      <w:r>
        <w:t>act</w:t>
      </w:r>
      <w:r w:rsidRPr="00454882">
        <w:t xml:space="preserve"> </w:t>
      </w:r>
      <w:r>
        <w:t>or</w:t>
      </w:r>
      <w:r w:rsidRPr="00454882">
        <w:t xml:space="preserve"> </w:t>
      </w:r>
      <w:r>
        <w:t>omission</w:t>
      </w:r>
      <w:r w:rsidRPr="00454882">
        <w:t xml:space="preserve"> </w:t>
      </w:r>
      <w:r>
        <w:t>by</w:t>
      </w:r>
      <w:r w:rsidRPr="00454882">
        <w:t xml:space="preserve"> </w:t>
      </w:r>
      <w:r>
        <w:t>the</w:t>
      </w:r>
      <w:r w:rsidRPr="00454882">
        <w:t xml:space="preserve"> </w:t>
      </w:r>
      <w:r>
        <w:t>Territory</w:t>
      </w:r>
      <w:r w:rsidRPr="00454882">
        <w:t xml:space="preserve"> </w:t>
      </w:r>
      <w:r>
        <w:t>or</w:t>
      </w:r>
      <w:r w:rsidRPr="00454882">
        <w:t xml:space="preserve"> </w:t>
      </w:r>
      <w:r>
        <w:t>relevant</w:t>
      </w:r>
      <w:r w:rsidRPr="00454882">
        <w:t xml:space="preserve"> </w:t>
      </w:r>
      <w:r>
        <w:t>Territory-related</w:t>
      </w:r>
      <w:r w:rsidRPr="00454882">
        <w:t xml:space="preserve"> </w:t>
      </w:r>
      <w:r>
        <w:t>parties</w:t>
      </w:r>
      <w:r w:rsidRPr="00454882">
        <w:t xml:space="preserve"> </w:t>
      </w:r>
      <w:r>
        <w:t>in</w:t>
      </w:r>
      <w:r w:rsidRPr="00454882">
        <w:t xml:space="preserve"> </w:t>
      </w:r>
      <w:r>
        <w:t>respect</w:t>
      </w:r>
      <w:r w:rsidRPr="00454882">
        <w:t xml:space="preserve"> </w:t>
      </w:r>
      <w:r>
        <w:t>of</w:t>
      </w:r>
      <w:r w:rsidRPr="00454882">
        <w:t xml:space="preserve"> </w:t>
      </w:r>
      <w:r>
        <w:t>the</w:t>
      </w:r>
      <w:r w:rsidRPr="00454882">
        <w:t xml:space="preserve"> </w:t>
      </w:r>
      <w:r>
        <w:t>Project</w:t>
      </w:r>
    </w:p>
    <w:p w:rsidR="00D60A99" w:rsidRDefault="00D60A99" w:rsidP="00454882">
      <w:pPr>
        <w:pStyle w:val="ListBullet"/>
      </w:pPr>
      <w:proofErr w:type="gramStart"/>
      <w:r w:rsidRPr="00D60A99">
        <w:t>during</w:t>
      </w:r>
      <w:proofErr w:type="gramEnd"/>
      <w:r w:rsidRPr="00D60A99">
        <w:t xml:space="preserve"> the Services Phase, damage to the Courts Facility or unreasonable interference with the Services directly caused by a third party contractor of the Territory</w:t>
      </w:r>
      <w:r>
        <w:t>.</w:t>
      </w:r>
    </w:p>
    <w:p w:rsidR="00573B93" w:rsidRDefault="00573B93" w:rsidP="00573B93"/>
    <w:p w:rsidR="00454882" w:rsidRDefault="00454882" w:rsidP="00454882">
      <w:pPr>
        <w:pStyle w:val="Heading2"/>
      </w:pPr>
      <w:bookmarkStart w:id="59" w:name="_Toc445867810"/>
      <w:bookmarkStart w:id="60" w:name="_Toc453768998"/>
      <w:r>
        <w:lastRenderedPageBreak/>
        <w:t>Default, Termination and Step-In Regimes</w:t>
      </w:r>
      <w:bookmarkEnd w:id="59"/>
      <w:bookmarkEnd w:id="60"/>
    </w:p>
    <w:p w:rsidR="00454882" w:rsidRPr="00B90362" w:rsidRDefault="00454882" w:rsidP="00454882">
      <w:pPr>
        <w:pStyle w:val="Heading4"/>
      </w:pPr>
      <w:r w:rsidRPr="00B90362">
        <w:t>Default</w:t>
      </w:r>
    </w:p>
    <w:p w:rsidR="00454882" w:rsidRPr="00B90362" w:rsidRDefault="00454882" w:rsidP="00454882">
      <w:r w:rsidRPr="00B90362">
        <w:t xml:space="preserve">A default by </w:t>
      </w:r>
      <w:proofErr w:type="spellStart"/>
      <w:r w:rsidRPr="00B90362">
        <w:t>Juris</w:t>
      </w:r>
      <w:proofErr w:type="spellEnd"/>
      <w:r w:rsidRPr="00B90362">
        <w:t xml:space="preserve"> Partnership under the contractual arrangements will entitle the Territory to various remedies. Where a default has occurred, the Territory will in most circumstances be required to give </w:t>
      </w:r>
      <w:proofErr w:type="spellStart"/>
      <w:r w:rsidRPr="00B90362">
        <w:t>Juris</w:t>
      </w:r>
      <w:proofErr w:type="spellEnd"/>
      <w:r w:rsidRPr="00B90362">
        <w:t xml:space="preserve"> Partnership an opportunity to </w:t>
      </w:r>
      <w:r w:rsidR="00D60A99">
        <w:t>remedy</w:t>
      </w:r>
      <w:r w:rsidR="00D60A99" w:rsidRPr="00B90362">
        <w:t xml:space="preserve"> </w:t>
      </w:r>
      <w:r w:rsidRPr="00B90362">
        <w:t xml:space="preserve">the default. If the default is not </w:t>
      </w:r>
      <w:r w:rsidR="00D60A99">
        <w:t>remedied</w:t>
      </w:r>
      <w:r w:rsidR="00D60A99" w:rsidRPr="00B90362">
        <w:t xml:space="preserve"> </w:t>
      </w:r>
      <w:r w:rsidRPr="00B90362">
        <w:t xml:space="preserve">by </w:t>
      </w:r>
      <w:proofErr w:type="spellStart"/>
      <w:r w:rsidRPr="00B90362">
        <w:t>Juris</w:t>
      </w:r>
      <w:proofErr w:type="spellEnd"/>
      <w:r w:rsidRPr="00B90362">
        <w:t xml:space="preserve"> Partnership within the required </w:t>
      </w:r>
      <w:r w:rsidR="00D60A99">
        <w:t>remedy</w:t>
      </w:r>
      <w:r w:rsidR="00D60A99" w:rsidRPr="00B90362">
        <w:t xml:space="preserve"> </w:t>
      </w:r>
      <w:r w:rsidRPr="00B90362">
        <w:t>period, it will escalate to a Major Default.</w:t>
      </w:r>
    </w:p>
    <w:p w:rsidR="00454882" w:rsidRPr="00B90362" w:rsidRDefault="00454882" w:rsidP="00454882">
      <w:r w:rsidRPr="00B90362">
        <w:t>The Project Agreement also elevates a number of events to immediately be classified within the Major Default category (such as when there are persistent breaches or repeated Service Failures).</w:t>
      </w:r>
    </w:p>
    <w:p w:rsidR="00454882" w:rsidRPr="00B90362" w:rsidRDefault="00454882" w:rsidP="00454882">
      <w:r w:rsidRPr="00B90362">
        <w:t xml:space="preserve">In respect of Major Defaults, </w:t>
      </w:r>
      <w:proofErr w:type="spellStart"/>
      <w:r w:rsidRPr="00B90362">
        <w:t>Juris</w:t>
      </w:r>
      <w:proofErr w:type="spellEnd"/>
      <w:r w:rsidRPr="00B90362">
        <w:t xml:space="preserve"> Partnership will be given the opportunity to agree a </w:t>
      </w:r>
      <w:r w:rsidR="00D60A99">
        <w:t>remedy program</w:t>
      </w:r>
      <w:r w:rsidRPr="00B90362">
        <w:t xml:space="preserve"> (if the default is capable of </w:t>
      </w:r>
      <w:r w:rsidR="00D60A99">
        <w:t>remedy</w:t>
      </w:r>
      <w:r w:rsidRPr="00B90362">
        <w:t xml:space="preserve">). Where </w:t>
      </w:r>
      <w:proofErr w:type="spellStart"/>
      <w:r w:rsidRPr="00B90362">
        <w:t>Juris</w:t>
      </w:r>
      <w:proofErr w:type="spellEnd"/>
      <w:r w:rsidRPr="00B90362">
        <w:t xml:space="preserve"> Partnership fails to </w:t>
      </w:r>
      <w:r w:rsidR="00D60A99">
        <w:t>remedy</w:t>
      </w:r>
      <w:r w:rsidR="00D60A99" w:rsidRPr="00B90362">
        <w:t xml:space="preserve"> </w:t>
      </w:r>
      <w:r w:rsidRPr="00B90362">
        <w:t xml:space="preserve">the Major Default within the required </w:t>
      </w:r>
      <w:r w:rsidR="00D60A99">
        <w:t>remedy</w:t>
      </w:r>
      <w:r w:rsidR="00D60A99" w:rsidRPr="00B90362">
        <w:t xml:space="preserve"> </w:t>
      </w:r>
      <w:r w:rsidRPr="00B90362">
        <w:t xml:space="preserve">period or to comply with an agreed </w:t>
      </w:r>
      <w:r w:rsidR="00D60A99">
        <w:t>remedy program</w:t>
      </w:r>
      <w:r w:rsidRPr="00B90362">
        <w:t xml:space="preserve">, this will generally, subject to </w:t>
      </w:r>
      <w:r w:rsidR="002A7EAC" w:rsidRPr="002A7EAC">
        <w:t xml:space="preserve">the rights of the </w:t>
      </w:r>
      <w:r w:rsidRPr="00B90362">
        <w:t>Financier</w:t>
      </w:r>
      <w:r w:rsidR="002A7EAC">
        <w:t>s to</w:t>
      </w:r>
      <w:r w:rsidRPr="00B90362">
        <w:t xml:space="preserve"> </w:t>
      </w:r>
      <w:r w:rsidR="002A7EAC">
        <w:t>remedy the default</w:t>
      </w:r>
      <w:r w:rsidRPr="00B90362">
        <w:t>, give rise to the Territory’s right to terminate the Project Agreement.</w:t>
      </w:r>
    </w:p>
    <w:p w:rsidR="00454882" w:rsidRPr="00B90362" w:rsidRDefault="00454882" w:rsidP="00454882">
      <w:r w:rsidRPr="00B90362">
        <w:t>Certain events of default give rise to a Territory termination right immediately upon their occurrence</w:t>
      </w:r>
      <w:r w:rsidR="002A7EAC" w:rsidRPr="002A7EAC">
        <w:t>, subject to the rights of the Financiers to remedy the default,</w:t>
      </w:r>
      <w:r w:rsidRPr="00B90362">
        <w:t xml:space="preserve"> (e.g. insolvency of </w:t>
      </w:r>
      <w:proofErr w:type="spellStart"/>
      <w:r w:rsidRPr="00B90362">
        <w:t>Juris</w:t>
      </w:r>
      <w:proofErr w:type="spellEnd"/>
      <w:r w:rsidRPr="00B90362">
        <w:t xml:space="preserve"> </w:t>
      </w:r>
      <w:r w:rsidRPr="007F567E">
        <w:t xml:space="preserve">Partnership or </w:t>
      </w:r>
      <w:proofErr w:type="spellStart"/>
      <w:r w:rsidR="002A7EAC" w:rsidRPr="002A7EAC">
        <w:t>Juris</w:t>
      </w:r>
      <w:proofErr w:type="spellEnd"/>
      <w:r w:rsidR="002A7EAC" w:rsidRPr="002A7EAC">
        <w:t xml:space="preserve"> Partnership abandons </w:t>
      </w:r>
      <w:r w:rsidRPr="007F567E">
        <w:t>the Project. These events are</w:t>
      </w:r>
      <w:r w:rsidRPr="00B90362">
        <w:t xml:space="preserve"> called Default Termination Events.</w:t>
      </w:r>
    </w:p>
    <w:p w:rsidR="00454882" w:rsidRPr="00B90362" w:rsidRDefault="00454882" w:rsidP="00454882">
      <w:pPr>
        <w:pStyle w:val="Heading4"/>
      </w:pPr>
      <w:r w:rsidRPr="00B90362">
        <w:t>Step-In</w:t>
      </w:r>
    </w:p>
    <w:p w:rsidR="00454882" w:rsidRPr="00B90362" w:rsidRDefault="00454882" w:rsidP="00454882">
      <w:r w:rsidRPr="00B90362">
        <w:t>In addition to triggering termination rights (or potential termination rights), events of Major Default and Default Termination Events may trigger additional Territory rights and remedies including:</w:t>
      </w:r>
    </w:p>
    <w:p w:rsidR="00454882" w:rsidRPr="00B90362" w:rsidRDefault="00454882" w:rsidP="00454882">
      <w:pPr>
        <w:pStyle w:val="ListBullet"/>
      </w:pPr>
      <w:r w:rsidRPr="00B90362">
        <w:t>the right to step-in to remedy the situation (i.e. the right to assume control and management of the Project, the Works or the Services)</w:t>
      </w:r>
    </w:p>
    <w:p w:rsidR="00454882" w:rsidRPr="00B90362" w:rsidRDefault="00454882" w:rsidP="00454882">
      <w:pPr>
        <w:pStyle w:val="ListBullet"/>
      </w:pPr>
      <w:r w:rsidRPr="00B90362">
        <w:t xml:space="preserve">the right to require </w:t>
      </w:r>
      <w:proofErr w:type="spellStart"/>
      <w:r w:rsidRPr="00B90362">
        <w:t>Juris</w:t>
      </w:r>
      <w:proofErr w:type="spellEnd"/>
      <w:r w:rsidRPr="00B90362">
        <w:t xml:space="preserve"> Partnership to replace a subcontractor that caused the Major Default or Default Termination Event at an agreed point within the applicable </w:t>
      </w:r>
      <w:r w:rsidR="002A7EAC">
        <w:t>remedy</w:t>
      </w:r>
      <w:r w:rsidR="002A7EAC" w:rsidRPr="00B90362">
        <w:t xml:space="preserve"> </w:t>
      </w:r>
      <w:r w:rsidRPr="00B90362">
        <w:t>period.</w:t>
      </w:r>
    </w:p>
    <w:p w:rsidR="00454882" w:rsidRPr="00B90362" w:rsidRDefault="00454882" w:rsidP="00454882">
      <w:r w:rsidRPr="00B90362">
        <w:t xml:space="preserve">Step-in rights for the Territory, as specified in the Project Agreement, can be triggered </w:t>
      </w:r>
      <w:r w:rsidR="002A7EAC">
        <w:t xml:space="preserve">for example </w:t>
      </w:r>
      <w:r w:rsidRPr="00B90362">
        <w:t>when:</w:t>
      </w:r>
    </w:p>
    <w:p w:rsidR="00454882" w:rsidRPr="00B90362" w:rsidRDefault="00454882" w:rsidP="00454882">
      <w:pPr>
        <w:pStyle w:val="ListBullet"/>
      </w:pPr>
      <w:r w:rsidRPr="00B90362">
        <w:t xml:space="preserve">a Major Default or a Default Termination Event has occurred and has not been </w:t>
      </w:r>
      <w:r w:rsidR="002A7EAC">
        <w:t>remedied</w:t>
      </w:r>
    </w:p>
    <w:p w:rsidR="00454882" w:rsidRPr="00B90362" w:rsidRDefault="00454882" w:rsidP="00454882">
      <w:pPr>
        <w:pStyle w:val="ListBullet"/>
      </w:pPr>
      <w:proofErr w:type="gramStart"/>
      <w:r w:rsidRPr="00B90362">
        <w:t>there</w:t>
      </w:r>
      <w:proofErr w:type="gramEnd"/>
      <w:r w:rsidRPr="00B90362">
        <w:t xml:space="preserve"> is an Emergency.</w:t>
      </w:r>
    </w:p>
    <w:p w:rsidR="00454882" w:rsidRPr="00B90362" w:rsidRDefault="00454882" w:rsidP="00454882">
      <w:r w:rsidRPr="00B90362">
        <w:t xml:space="preserve">The default related step-in right is subject to </w:t>
      </w:r>
      <w:r w:rsidR="002A7EAC" w:rsidRPr="002A7EAC">
        <w:t xml:space="preserve">the rights of </w:t>
      </w:r>
      <w:proofErr w:type="spellStart"/>
      <w:r w:rsidR="002A7EAC" w:rsidRPr="002A7EAC">
        <w:t>Juris</w:t>
      </w:r>
      <w:proofErr w:type="spellEnd"/>
      <w:r w:rsidR="002A7EAC" w:rsidRPr="002A7EAC">
        <w:t xml:space="preserve"> Partnership and the Financiers to remedy the default</w:t>
      </w:r>
      <w:r w:rsidRPr="00B90362">
        <w:t xml:space="preserve">. During any step-in associated with a default, the MSP will be </w:t>
      </w:r>
      <w:r w:rsidR="002A7EAC">
        <w:t>adjusted</w:t>
      </w:r>
      <w:r w:rsidR="002A7EAC" w:rsidRPr="00B90362">
        <w:t xml:space="preserve"> </w:t>
      </w:r>
      <w:r w:rsidRPr="00B90362">
        <w:t>to the extent that the Services are not being provided</w:t>
      </w:r>
      <w:r w:rsidR="002A7EAC">
        <w:t xml:space="preserve"> </w:t>
      </w:r>
      <w:r w:rsidR="002A7EAC" w:rsidRPr="002A7EAC">
        <w:t>in accordance with the Project Agreement</w:t>
      </w:r>
      <w:r w:rsidRPr="00B90362">
        <w:t>.</w:t>
      </w:r>
    </w:p>
    <w:p w:rsidR="00454882" w:rsidRPr="00B90362" w:rsidRDefault="00454882" w:rsidP="00454882">
      <w:pPr>
        <w:pStyle w:val="Heading4"/>
      </w:pPr>
      <w:r w:rsidRPr="00B90362">
        <w:lastRenderedPageBreak/>
        <w:t>Termination</w:t>
      </w:r>
    </w:p>
    <w:p w:rsidR="00454882" w:rsidRPr="00B90362" w:rsidRDefault="00454882" w:rsidP="00454882">
      <w:r w:rsidRPr="00B90362">
        <w:t xml:space="preserve">Where the Project Agreement is terminated before the natural expiry of the </w:t>
      </w:r>
      <w:r w:rsidR="00683E5E">
        <w:t>Services Phase</w:t>
      </w:r>
      <w:r w:rsidRPr="00B90362">
        <w:t xml:space="preserve">, </w:t>
      </w:r>
      <w:proofErr w:type="spellStart"/>
      <w:r w:rsidRPr="00B90362">
        <w:t>Juris</w:t>
      </w:r>
      <w:proofErr w:type="spellEnd"/>
      <w:r w:rsidRPr="00B90362">
        <w:t xml:space="preserve"> Partnership may be entitled to a termination payment. The Project Agreement can be terminated as a result of the following:</w:t>
      </w:r>
    </w:p>
    <w:p w:rsidR="00454882" w:rsidRPr="00B90362" w:rsidRDefault="002A7EAC" w:rsidP="00454882">
      <w:pPr>
        <w:pStyle w:val="ListBullet"/>
      </w:pPr>
      <w:r>
        <w:t>D</w:t>
      </w:r>
      <w:r w:rsidR="00454882" w:rsidRPr="00B90362">
        <w:t>efault</w:t>
      </w:r>
      <w:r>
        <w:t xml:space="preserve"> </w:t>
      </w:r>
      <w:r w:rsidRPr="002A7EAC">
        <w:t>Termination Event</w:t>
      </w:r>
    </w:p>
    <w:p w:rsidR="00454882" w:rsidRPr="00B90362" w:rsidRDefault="00454882" w:rsidP="00454882">
      <w:pPr>
        <w:pStyle w:val="ListBullet"/>
      </w:pPr>
      <w:r w:rsidRPr="00B90362">
        <w:t>a Force Majeure Termination Event (including an uninsurable event)</w:t>
      </w:r>
    </w:p>
    <w:p w:rsidR="00454882" w:rsidRPr="00B90362" w:rsidRDefault="00573B93" w:rsidP="00454882">
      <w:pPr>
        <w:pStyle w:val="ListBullet"/>
      </w:pPr>
      <w:r>
        <w:t>Territory for Convenience</w:t>
      </w:r>
    </w:p>
    <w:p w:rsidR="00454882" w:rsidRPr="00B90362" w:rsidRDefault="00454882" w:rsidP="00454882">
      <w:r w:rsidRPr="00B90362">
        <w:t>The basis for the calculation of the termination payment will be determined by the reason for the termination as summarised in</w:t>
      </w:r>
      <w:r w:rsidR="0009783C">
        <w:t xml:space="preserve"> </w:t>
      </w:r>
      <w:r w:rsidR="00016AC7">
        <w:fldChar w:fldCharType="begin"/>
      </w:r>
      <w:r w:rsidR="0009783C">
        <w:instrText xml:space="preserve"> REF _Ref445867268 \h </w:instrText>
      </w:r>
      <w:r w:rsidR="00016AC7">
        <w:fldChar w:fldCharType="separate"/>
      </w:r>
      <w:r w:rsidR="00F55362">
        <w:t xml:space="preserve">Table </w:t>
      </w:r>
      <w:r w:rsidR="00F55362">
        <w:rPr>
          <w:noProof/>
        </w:rPr>
        <w:t>8</w:t>
      </w:r>
      <w:r w:rsidR="00016AC7">
        <w:fldChar w:fldCharType="end"/>
      </w:r>
      <w:r w:rsidRPr="00B90362">
        <w:t>.</w:t>
      </w:r>
    </w:p>
    <w:p w:rsidR="00454882" w:rsidRDefault="00454882" w:rsidP="00454882">
      <w:pPr>
        <w:pStyle w:val="Caption"/>
      </w:pPr>
      <w:bookmarkStart w:id="61" w:name="_Ref445867268"/>
      <w:r>
        <w:t xml:space="preserve">Table </w:t>
      </w:r>
      <w:r w:rsidR="00016AC7">
        <w:fldChar w:fldCharType="begin"/>
      </w:r>
      <w:r>
        <w:instrText xml:space="preserve"> SEQ Table \* ARABIC </w:instrText>
      </w:r>
      <w:r w:rsidR="00016AC7">
        <w:fldChar w:fldCharType="separate"/>
      </w:r>
      <w:r w:rsidR="00F55362">
        <w:rPr>
          <w:noProof/>
        </w:rPr>
        <w:t>8</w:t>
      </w:r>
      <w:r w:rsidR="00016AC7">
        <w:fldChar w:fldCharType="end"/>
      </w:r>
      <w:bookmarkEnd w:id="61"/>
      <w:r>
        <w:t>: Termination options</w:t>
      </w:r>
    </w:p>
    <w:tbl>
      <w:tblPr>
        <w:tblStyle w:val="TableGrid"/>
        <w:tblW w:w="5000" w:type="pct"/>
        <w:tblLook w:val="04A0"/>
      </w:tblPr>
      <w:tblGrid>
        <w:gridCol w:w="2234"/>
        <w:gridCol w:w="3225"/>
        <w:gridCol w:w="3225"/>
      </w:tblGrid>
      <w:tr w:rsidR="00454882" w:rsidTr="00454882">
        <w:trPr>
          <w:cnfStyle w:val="100000000000"/>
          <w:tblHeader/>
        </w:trPr>
        <w:tc>
          <w:tcPr>
            <w:tcW w:w="1286" w:type="pct"/>
          </w:tcPr>
          <w:p w:rsidR="00454882" w:rsidRDefault="00454882" w:rsidP="00454882">
            <w:pPr>
              <w:spacing w:before="96" w:after="96"/>
            </w:pPr>
            <w:r>
              <w:t>Event</w:t>
            </w:r>
          </w:p>
        </w:tc>
        <w:tc>
          <w:tcPr>
            <w:tcW w:w="1857" w:type="pct"/>
          </w:tcPr>
          <w:p w:rsidR="00454882" w:rsidRDefault="00454882" w:rsidP="00454882">
            <w:pPr>
              <w:spacing w:before="96" w:after="96"/>
            </w:pPr>
            <w:r>
              <w:t>Trigger</w:t>
            </w:r>
          </w:p>
        </w:tc>
        <w:tc>
          <w:tcPr>
            <w:tcW w:w="1857" w:type="pct"/>
          </w:tcPr>
          <w:p w:rsidR="00454882" w:rsidRDefault="00454882" w:rsidP="00454882">
            <w:pPr>
              <w:spacing w:before="96" w:after="96"/>
            </w:pPr>
            <w:r>
              <w:t>Termination Payments</w:t>
            </w:r>
          </w:p>
        </w:tc>
      </w:tr>
      <w:tr w:rsidR="00454882" w:rsidRPr="005951F7" w:rsidTr="00454882">
        <w:tc>
          <w:tcPr>
            <w:tcW w:w="1286" w:type="pct"/>
          </w:tcPr>
          <w:p w:rsidR="00454882" w:rsidRPr="005951F7" w:rsidRDefault="00454882" w:rsidP="005951F7">
            <w:r w:rsidRPr="005951F7">
              <w:t>Default Termination Event</w:t>
            </w:r>
          </w:p>
        </w:tc>
        <w:tc>
          <w:tcPr>
            <w:tcW w:w="1857" w:type="pct"/>
          </w:tcPr>
          <w:p w:rsidR="00454882" w:rsidRPr="005951F7" w:rsidRDefault="00454882" w:rsidP="005951F7">
            <w:r w:rsidRPr="005951F7">
              <w:t>The Territory may terminate the Project Agreement if certain events of default have occurred and not been remediated in accordance with the Project Agreement</w:t>
            </w:r>
          </w:p>
        </w:tc>
        <w:tc>
          <w:tcPr>
            <w:tcW w:w="1857" w:type="pct"/>
          </w:tcPr>
          <w:p w:rsidR="00B040EE" w:rsidRPr="005951F7" w:rsidRDefault="00454882" w:rsidP="005951F7">
            <w:r w:rsidRPr="005951F7">
              <w:t xml:space="preserve">The Project’s fair market value determined by tendering or an independent </w:t>
            </w:r>
            <w:proofErr w:type="spellStart"/>
            <w:r w:rsidRPr="005951F7">
              <w:t>valuer</w:t>
            </w:r>
            <w:proofErr w:type="spellEnd"/>
            <w:r w:rsidR="002A7EAC" w:rsidRPr="005951F7">
              <w:t>, at the Territory's election, except in certain circumstances, for example,</w:t>
            </w:r>
            <w:r w:rsidRPr="005951F7">
              <w:t xml:space="preserve"> </w:t>
            </w:r>
            <w:r w:rsidR="002A7EAC" w:rsidRPr="005951F7">
              <w:t>a</w:t>
            </w:r>
            <w:r w:rsidRPr="005951F7">
              <w:t xml:space="preserve">n independent </w:t>
            </w:r>
            <w:proofErr w:type="spellStart"/>
            <w:r w:rsidRPr="005951F7">
              <w:t>valuer</w:t>
            </w:r>
            <w:proofErr w:type="spellEnd"/>
            <w:r w:rsidRPr="005951F7">
              <w:t xml:space="preserve"> must be used in certain circumstances including where there is no liquid market.</w:t>
            </w:r>
          </w:p>
        </w:tc>
      </w:tr>
      <w:tr w:rsidR="00454882" w:rsidRPr="005951F7" w:rsidTr="00454882">
        <w:tc>
          <w:tcPr>
            <w:tcW w:w="1286" w:type="pct"/>
          </w:tcPr>
          <w:p w:rsidR="00454882" w:rsidRPr="005951F7" w:rsidRDefault="00454882" w:rsidP="005951F7">
            <w:r w:rsidRPr="005951F7">
              <w:t>Termination</w:t>
            </w:r>
            <w:r w:rsidR="00573B93">
              <w:t xml:space="preserve"> for Convenience</w:t>
            </w:r>
          </w:p>
        </w:tc>
        <w:tc>
          <w:tcPr>
            <w:tcW w:w="1857" w:type="pct"/>
          </w:tcPr>
          <w:p w:rsidR="00454882" w:rsidRPr="005951F7" w:rsidRDefault="00454882" w:rsidP="005951F7">
            <w:r w:rsidRPr="005951F7">
              <w:t>The Territory may at any time, for reasons of its own choosing, unilaterally elect to terminate the Project Agreement for convenience</w:t>
            </w:r>
          </w:p>
        </w:tc>
        <w:tc>
          <w:tcPr>
            <w:tcW w:w="1857" w:type="pct"/>
          </w:tcPr>
          <w:p w:rsidR="00454882" w:rsidRPr="005951F7" w:rsidRDefault="00454882" w:rsidP="005951F7">
            <w:r w:rsidRPr="005951F7">
              <w:t>The outstanding debt as at termination date plus the fair market value of the equity as assessed by the independent expert together with other reasonable costs.</w:t>
            </w:r>
          </w:p>
        </w:tc>
      </w:tr>
      <w:tr w:rsidR="00454882" w:rsidRPr="005951F7" w:rsidTr="00454882">
        <w:tc>
          <w:tcPr>
            <w:tcW w:w="1286" w:type="pct"/>
          </w:tcPr>
          <w:p w:rsidR="00454882" w:rsidRPr="005951F7" w:rsidRDefault="00454882" w:rsidP="005951F7">
            <w:r w:rsidRPr="005951F7">
              <w:t>Termination for Force Majeure</w:t>
            </w:r>
          </w:p>
        </w:tc>
        <w:tc>
          <w:tcPr>
            <w:tcW w:w="1857" w:type="pct"/>
          </w:tcPr>
          <w:p w:rsidR="00454882" w:rsidRPr="005951F7" w:rsidRDefault="00454882" w:rsidP="005951F7">
            <w:r w:rsidRPr="005951F7">
              <w:t>The occurrence of a Force Majeure Termination Event (including an uninsurable event for which the Territory does not act as the insurer of last resort)</w:t>
            </w:r>
          </w:p>
        </w:tc>
        <w:tc>
          <w:tcPr>
            <w:tcW w:w="1857" w:type="pct"/>
          </w:tcPr>
          <w:p w:rsidR="00454882" w:rsidRPr="005951F7" w:rsidRDefault="00454882" w:rsidP="005951F7">
            <w:r w:rsidRPr="005951F7">
              <w:t>The outstanding debt as at the termination date plus other agreed costs.</w:t>
            </w:r>
          </w:p>
        </w:tc>
      </w:tr>
    </w:tbl>
    <w:p w:rsidR="00683E5E" w:rsidRPr="00683E5E" w:rsidRDefault="00683E5E" w:rsidP="00683E5E">
      <w:bookmarkStart w:id="62" w:name="_Toc445867811"/>
      <w:r>
        <w:t xml:space="preserve">The compensation calculations are consistent with the National </w:t>
      </w:r>
      <w:r w:rsidR="002A7EAC">
        <w:t xml:space="preserve">PPP </w:t>
      </w:r>
      <w:r>
        <w:t>Guid</w:t>
      </w:r>
      <w:r w:rsidR="002A7EAC">
        <w:t>ance</w:t>
      </w:r>
      <w:r>
        <w:t xml:space="preserve"> and established market precedent and are set out in the Schedule 10 to the Project Agreement.</w:t>
      </w:r>
    </w:p>
    <w:p w:rsidR="00454882" w:rsidRDefault="00454882" w:rsidP="00454882">
      <w:pPr>
        <w:pStyle w:val="Heading2"/>
      </w:pPr>
      <w:bookmarkStart w:id="63" w:name="_Toc453768999"/>
      <w:r>
        <w:t>Finance</w:t>
      </w:r>
      <w:bookmarkEnd w:id="62"/>
      <w:bookmarkEnd w:id="63"/>
    </w:p>
    <w:p w:rsidR="00454882" w:rsidRPr="00B90362" w:rsidRDefault="00454882" w:rsidP="00454882">
      <w:proofErr w:type="spellStart"/>
      <w:r w:rsidRPr="00B90362">
        <w:t>Juris</w:t>
      </w:r>
      <w:proofErr w:type="spellEnd"/>
      <w:r w:rsidRPr="00B90362">
        <w:t xml:space="preserve"> Partnership is responsible for the provision of debt and equity finance for the Project. Its funding</w:t>
      </w:r>
      <w:r>
        <w:t xml:space="preserve"> </w:t>
      </w:r>
      <w:r w:rsidRPr="00B90362">
        <w:t>structure comprises senior debt drawn progressively from Financial Close and equity committed at Financial Close by way of equity letter</w:t>
      </w:r>
      <w:r>
        <w:t>s</w:t>
      </w:r>
      <w:r w:rsidRPr="00B90362">
        <w:t xml:space="preserve"> of credit, with the equity funding drawn down as a lump sum during construction.</w:t>
      </w:r>
    </w:p>
    <w:p w:rsidR="00454882" w:rsidRPr="00B90362" w:rsidRDefault="00454882" w:rsidP="00454882">
      <w:r w:rsidRPr="00B90362">
        <w:lastRenderedPageBreak/>
        <w:t xml:space="preserve">The debt is </w:t>
      </w:r>
      <w:r w:rsidRPr="00C97FE6">
        <w:t xml:space="preserve">for an initial period of </w:t>
      </w:r>
      <w:r w:rsidR="00CE0773">
        <w:t xml:space="preserve">three and a half </w:t>
      </w:r>
      <w:r w:rsidRPr="00C97FE6">
        <w:t>years from Financial Close.</w:t>
      </w:r>
      <w:r w:rsidRPr="00B90362">
        <w:t xml:space="preserve"> It is assumed that debt will then be refinanced at regular intervals over the remainder of the Project term. The Territory will not share in any refinancing losses but will be entitled to 50 per cent of the benefit of any refinancing gain, after allowing </w:t>
      </w:r>
      <w:proofErr w:type="spellStart"/>
      <w:r w:rsidRPr="00B90362">
        <w:t>Juris</w:t>
      </w:r>
      <w:proofErr w:type="spellEnd"/>
      <w:r w:rsidRPr="00B90362">
        <w:t xml:space="preserve"> Partnership to recoup any prior refinancing losses.</w:t>
      </w:r>
    </w:p>
    <w:p w:rsidR="00454882" w:rsidRPr="00B90362" w:rsidRDefault="00454882" w:rsidP="00454882">
      <w:proofErr w:type="spellStart"/>
      <w:r w:rsidRPr="00B90362">
        <w:t>Juris</w:t>
      </w:r>
      <w:proofErr w:type="spellEnd"/>
      <w:r w:rsidRPr="00B90362">
        <w:t xml:space="preserve"> Partnership has retained the risk in relation to any market disruption events under the Project’s</w:t>
      </w:r>
      <w:r>
        <w:t xml:space="preserve"> </w:t>
      </w:r>
      <w:r w:rsidRPr="00B90362">
        <w:t>financing with its debt providers.</w:t>
      </w:r>
    </w:p>
    <w:p w:rsidR="00454882" w:rsidRDefault="00454882" w:rsidP="00454882">
      <w:pPr>
        <w:pStyle w:val="Heading2"/>
      </w:pPr>
      <w:bookmarkStart w:id="64" w:name="_Toc445867812"/>
      <w:bookmarkStart w:id="65" w:name="_Toc453769000"/>
      <w:r>
        <w:t>Fitness for Purpose</w:t>
      </w:r>
      <w:bookmarkEnd w:id="64"/>
      <w:bookmarkEnd w:id="65"/>
    </w:p>
    <w:p w:rsidR="00454882" w:rsidRPr="00EF5A1F" w:rsidRDefault="00454882" w:rsidP="007C4F14">
      <w:r w:rsidRPr="00EF5A1F">
        <w:t>The Project Agreement contains a fitness for purpose test for the New Facility</w:t>
      </w:r>
      <w:r w:rsidR="008A3CCD">
        <w:t xml:space="preserve"> </w:t>
      </w:r>
      <w:r w:rsidR="008A3CCD" w:rsidRPr="008A3CCD">
        <w:t>and Reconditioned Areas consistent with the National PPP Guidance</w:t>
      </w:r>
      <w:r w:rsidR="008A3CCD">
        <w:t>. T</w:t>
      </w:r>
      <w:r w:rsidR="008A3CCD" w:rsidRPr="008A3CCD">
        <w:t>he Existing Facility is required to</w:t>
      </w:r>
      <w:r w:rsidR="008A3CCD">
        <w:t xml:space="preserve"> be fit for performance of the S</w:t>
      </w:r>
      <w:r w:rsidR="008A3CCD" w:rsidRPr="008A3CCD">
        <w:t>ervices and to meet the standard of the Existing Facility set out in</w:t>
      </w:r>
      <w:r w:rsidR="008A3CCD">
        <w:t xml:space="preserve"> the Services Specification and, where applicable, </w:t>
      </w:r>
      <w:r w:rsidR="008A3CCD" w:rsidRPr="008A3CCD">
        <w:t>the Output Specification</w:t>
      </w:r>
      <w:r w:rsidRPr="00EF5A1F">
        <w:t>.</w:t>
      </w:r>
    </w:p>
    <w:p w:rsidR="00454882" w:rsidRDefault="00454882" w:rsidP="00454882">
      <w:pPr>
        <w:pStyle w:val="Heading2"/>
      </w:pPr>
      <w:bookmarkStart w:id="66" w:name="_Toc445867813"/>
      <w:bookmarkStart w:id="67" w:name="_Toc453769001"/>
      <w:r>
        <w:t>Territory Rights at Expiry of Contract</w:t>
      </w:r>
      <w:bookmarkEnd w:id="66"/>
      <w:bookmarkEnd w:id="67"/>
    </w:p>
    <w:p w:rsidR="00454882" w:rsidRPr="00EF5A1F" w:rsidRDefault="00454882" w:rsidP="00454882">
      <w:r w:rsidRPr="00EF5A1F">
        <w:t xml:space="preserve">The Project Agreement requires </w:t>
      </w:r>
      <w:proofErr w:type="spellStart"/>
      <w:r w:rsidRPr="00EF5A1F">
        <w:t>Juris</w:t>
      </w:r>
      <w:proofErr w:type="spellEnd"/>
      <w:r w:rsidRPr="00EF5A1F">
        <w:t xml:space="preserve"> Partnership to hand back the New Facility and commercial developments to the Territory at the expiry of the Term for nil consideration and in a condition that meets the requirements of the Project Agreement. The Territory will then resume full control of the </w:t>
      </w:r>
      <w:r>
        <w:t>Courts</w:t>
      </w:r>
      <w:r w:rsidRPr="00EF5A1F">
        <w:t xml:space="preserve"> Facility and commercial developments.</w:t>
      </w:r>
    </w:p>
    <w:p w:rsidR="00454882" w:rsidRPr="00EF5A1F" w:rsidRDefault="00454882" w:rsidP="00454882">
      <w:r w:rsidRPr="00EF5A1F">
        <w:t xml:space="preserve">To ensure that the assets are in sound working order, the </w:t>
      </w:r>
      <w:r>
        <w:t>Courts</w:t>
      </w:r>
      <w:r w:rsidRPr="00EF5A1F">
        <w:t xml:space="preserve"> Facility will be independently inspected on an annual basis in the years leading to the expiry of the Term to ensure that all lifecycle and maintenance works have been completed and that the </w:t>
      </w:r>
      <w:r>
        <w:t>Courts</w:t>
      </w:r>
      <w:r w:rsidRPr="00EF5A1F">
        <w:t xml:space="preserve"> Facility will meet the relevant </w:t>
      </w:r>
      <w:proofErr w:type="spellStart"/>
      <w:r w:rsidRPr="00EF5A1F">
        <w:t>handback</w:t>
      </w:r>
      <w:proofErr w:type="spellEnd"/>
      <w:r w:rsidRPr="00EF5A1F">
        <w:t xml:space="preserve"> condition. The </w:t>
      </w:r>
      <w:proofErr w:type="spellStart"/>
      <w:r w:rsidRPr="00EF5A1F">
        <w:t>handback</w:t>
      </w:r>
      <w:proofErr w:type="spellEnd"/>
      <w:r w:rsidRPr="00EF5A1F">
        <w:t xml:space="preserve"> condition is described in the Project Agreement.</w:t>
      </w:r>
    </w:p>
    <w:p w:rsidR="00454882" w:rsidRPr="00B3102C" w:rsidRDefault="00454882" w:rsidP="00454882">
      <w:r w:rsidRPr="00EF5A1F">
        <w:t xml:space="preserve">If </w:t>
      </w:r>
      <w:proofErr w:type="spellStart"/>
      <w:r w:rsidRPr="00EF5A1F">
        <w:t>Juris</w:t>
      </w:r>
      <w:proofErr w:type="spellEnd"/>
      <w:r w:rsidRPr="00EF5A1F">
        <w:t xml:space="preserve"> Partnership fails to maintain the </w:t>
      </w:r>
      <w:r>
        <w:t>Courts</w:t>
      </w:r>
      <w:r w:rsidRPr="00EF5A1F">
        <w:t xml:space="preserve"> Facility to the standard required to satisfy the </w:t>
      </w:r>
      <w:proofErr w:type="spellStart"/>
      <w:r w:rsidRPr="00EF5A1F">
        <w:t>handback</w:t>
      </w:r>
      <w:proofErr w:type="spellEnd"/>
      <w:r w:rsidRPr="00EF5A1F">
        <w:t xml:space="preserve"> requirements, the Territory will be entitled to withhold a portion of the MSP to cover the expense of any shortfall.</w:t>
      </w:r>
    </w:p>
    <w:p w:rsidR="00454882" w:rsidRDefault="00454882" w:rsidP="00454882">
      <w:pPr>
        <w:pStyle w:val="Heading2"/>
      </w:pPr>
      <w:bookmarkStart w:id="68" w:name="_Toc445867814"/>
      <w:bookmarkStart w:id="69" w:name="_Toc453769002"/>
      <w:r>
        <w:t>Current Version</w:t>
      </w:r>
      <w:bookmarkEnd w:id="68"/>
      <w:bookmarkEnd w:id="69"/>
    </w:p>
    <w:p w:rsidR="00454882" w:rsidRPr="00EF5A1F" w:rsidRDefault="00454882" w:rsidP="00454882">
      <w:r w:rsidRPr="00EF5A1F">
        <w:t xml:space="preserve">This document may be updated from time to time. Please check </w:t>
      </w:r>
      <w:r w:rsidR="009E0769">
        <w:t xml:space="preserve">with the contacts listed at </w:t>
      </w:r>
      <w:r w:rsidR="00016AC7">
        <w:fldChar w:fldCharType="begin" w:fldLock="1"/>
      </w:r>
      <w:r w:rsidR="009E0769">
        <w:instrText xml:space="preserve"> REF _Ref451244215 \n \h </w:instrText>
      </w:r>
      <w:r w:rsidR="00016AC7">
        <w:fldChar w:fldCharType="separate"/>
      </w:r>
      <w:r w:rsidR="0067732C">
        <w:t>Appendix C</w:t>
      </w:r>
      <w:r w:rsidR="00016AC7">
        <w:fldChar w:fldCharType="end"/>
      </w:r>
      <w:r w:rsidR="009E0769">
        <w:t xml:space="preserve"> </w:t>
      </w:r>
      <w:r w:rsidRPr="00EF5A1F">
        <w:t>for the current edition.</w:t>
      </w:r>
    </w:p>
    <w:p w:rsidR="00454882" w:rsidRDefault="00454882" w:rsidP="00454882">
      <w:pPr>
        <w:pStyle w:val="AppendixHeading"/>
      </w:pPr>
      <w:bookmarkStart w:id="70" w:name="_Toc445867815"/>
      <w:bookmarkStart w:id="71" w:name="_Toc453769003"/>
      <w:r>
        <w:lastRenderedPageBreak/>
        <w:t>– Glossary</w:t>
      </w:r>
      <w:bookmarkEnd w:id="70"/>
      <w:bookmarkEnd w:id="71"/>
    </w:p>
    <w:p w:rsidR="00454882" w:rsidRDefault="00454882" w:rsidP="00454882">
      <w:r>
        <w:t>Terms used in this Project Summary have the meaning given to them in the Project Agreement unless otherwise defined in this Glossary or elsewhere in this document.</w:t>
      </w:r>
    </w:p>
    <w:p w:rsidR="00454882" w:rsidRDefault="00454882" w:rsidP="00454882">
      <w:pPr>
        <w:pStyle w:val="space"/>
      </w:pPr>
    </w:p>
    <w:tbl>
      <w:tblPr>
        <w:tblStyle w:val="TableGrid"/>
        <w:tblW w:w="5000" w:type="pct"/>
        <w:tblBorders>
          <w:top w:val="none" w:sz="0" w:space="0" w:color="auto"/>
          <w:left w:val="none" w:sz="0" w:space="0" w:color="auto"/>
          <w:bottom w:val="none" w:sz="0" w:space="0" w:color="auto"/>
          <w:right w:val="none" w:sz="0" w:space="0" w:color="auto"/>
          <w:insideV w:val="none" w:sz="0" w:space="0" w:color="auto"/>
        </w:tblBorders>
        <w:tblLook w:val="04A0"/>
      </w:tblPr>
      <w:tblGrid>
        <w:gridCol w:w="2127"/>
        <w:gridCol w:w="6547"/>
      </w:tblGrid>
      <w:tr w:rsidR="0031758D" w:rsidTr="005831B7">
        <w:trPr>
          <w:cnfStyle w:val="100000000000"/>
          <w:cantSplit/>
          <w:tblHeader/>
        </w:trPr>
        <w:tc>
          <w:tcPr>
            <w:tcW w:w="1226" w:type="pct"/>
          </w:tcPr>
          <w:p w:rsidR="0031758D" w:rsidRPr="00127057" w:rsidRDefault="0031758D" w:rsidP="00454882">
            <w:pPr>
              <w:spacing w:before="96" w:after="96"/>
            </w:pPr>
            <w:r w:rsidRPr="00127057">
              <w:t>Term</w:t>
            </w:r>
          </w:p>
        </w:tc>
        <w:tc>
          <w:tcPr>
            <w:tcW w:w="3774" w:type="pct"/>
          </w:tcPr>
          <w:p w:rsidR="0031758D" w:rsidRPr="00454882" w:rsidRDefault="0031758D" w:rsidP="00454882">
            <w:pPr>
              <w:spacing w:before="96" w:after="96"/>
            </w:pPr>
            <w:r>
              <w:t>Meaning</w:t>
            </w:r>
          </w:p>
        </w:tc>
      </w:tr>
      <w:tr w:rsidR="0031758D" w:rsidTr="005831B7">
        <w:trPr>
          <w:cantSplit/>
        </w:trPr>
        <w:tc>
          <w:tcPr>
            <w:tcW w:w="1226" w:type="pct"/>
          </w:tcPr>
          <w:p w:rsidR="0031758D" w:rsidRDefault="0031758D" w:rsidP="00454882">
            <w:r>
              <w:t>ACT</w:t>
            </w:r>
          </w:p>
        </w:tc>
        <w:tc>
          <w:tcPr>
            <w:tcW w:w="3774" w:type="pct"/>
          </w:tcPr>
          <w:p w:rsidR="0031758D" w:rsidRDefault="0031758D" w:rsidP="00454882">
            <w:r>
              <w:t>Australian Capital Territory</w:t>
            </w:r>
          </w:p>
        </w:tc>
      </w:tr>
      <w:tr w:rsidR="0031758D" w:rsidTr="005831B7">
        <w:trPr>
          <w:cantSplit/>
        </w:trPr>
        <w:tc>
          <w:tcPr>
            <w:tcW w:w="1226" w:type="pct"/>
          </w:tcPr>
          <w:p w:rsidR="0031758D" w:rsidRPr="00454882" w:rsidRDefault="0031758D" w:rsidP="00454882">
            <w:r>
              <w:t>CMTEDD</w:t>
            </w:r>
          </w:p>
        </w:tc>
        <w:tc>
          <w:tcPr>
            <w:tcW w:w="3774" w:type="pct"/>
          </w:tcPr>
          <w:p w:rsidR="0031758D" w:rsidRPr="00454882" w:rsidRDefault="0031758D" w:rsidP="00454882">
            <w:r>
              <w:t>Chief Minster, Treasury and Economic Development Directorate</w:t>
            </w:r>
          </w:p>
        </w:tc>
      </w:tr>
      <w:tr w:rsidR="0031758D" w:rsidTr="005831B7">
        <w:trPr>
          <w:cantSplit/>
        </w:trPr>
        <w:tc>
          <w:tcPr>
            <w:tcW w:w="1226" w:type="pct"/>
          </w:tcPr>
          <w:p w:rsidR="0031758D" w:rsidRDefault="0031758D" w:rsidP="00454882">
            <w:r>
              <w:t>Contract Close</w:t>
            </w:r>
          </w:p>
        </w:tc>
        <w:tc>
          <w:tcPr>
            <w:tcW w:w="3774" w:type="pct"/>
          </w:tcPr>
          <w:p w:rsidR="0031758D" w:rsidRDefault="0031758D" w:rsidP="005831B7">
            <w:r>
              <w:t>The date on which the State and Project Co entered into the Project Agreement. This occurred on 14 December 2015</w:t>
            </w:r>
          </w:p>
        </w:tc>
      </w:tr>
      <w:tr w:rsidR="0031758D" w:rsidTr="005831B7">
        <w:trPr>
          <w:cantSplit/>
        </w:trPr>
        <w:tc>
          <w:tcPr>
            <w:tcW w:w="1226" w:type="pct"/>
          </w:tcPr>
          <w:p w:rsidR="0031758D" w:rsidRDefault="0031758D" w:rsidP="00454882">
            <w:r>
              <w:t>Courts Facility</w:t>
            </w:r>
          </w:p>
        </w:tc>
        <w:tc>
          <w:tcPr>
            <w:tcW w:w="3774" w:type="pct"/>
          </w:tcPr>
          <w:p w:rsidR="0031758D" w:rsidRDefault="0031758D" w:rsidP="00896488">
            <w:r>
              <w:t>Th</w:t>
            </w:r>
            <w:r w:rsidRPr="005831B7">
              <w:t>e Existing Facility (including the Reconditioned Areas) and the New Facility</w:t>
            </w:r>
          </w:p>
        </w:tc>
      </w:tr>
      <w:tr w:rsidR="0031758D" w:rsidTr="005831B7">
        <w:trPr>
          <w:cantSplit/>
        </w:trPr>
        <w:tc>
          <w:tcPr>
            <w:tcW w:w="1226" w:type="pct"/>
          </w:tcPr>
          <w:p w:rsidR="0031758D" w:rsidRPr="00454882" w:rsidRDefault="0031758D" w:rsidP="00454882">
            <w:r>
              <w:t>D&amp;C Phase</w:t>
            </w:r>
          </w:p>
        </w:tc>
        <w:tc>
          <w:tcPr>
            <w:tcW w:w="3774" w:type="pct"/>
          </w:tcPr>
          <w:p w:rsidR="0031758D" w:rsidRPr="00454882" w:rsidRDefault="0031758D" w:rsidP="00454882">
            <w:r>
              <w:t>The period from Financial Close to the completion of all construction works required under the Project Agreement</w:t>
            </w:r>
          </w:p>
        </w:tc>
      </w:tr>
      <w:tr w:rsidR="0031758D" w:rsidTr="005831B7">
        <w:trPr>
          <w:cantSplit/>
        </w:trPr>
        <w:tc>
          <w:tcPr>
            <w:tcW w:w="1226" w:type="pct"/>
          </w:tcPr>
          <w:p w:rsidR="0031758D" w:rsidRDefault="0031758D" w:rsidP="00454882">
            <w:r w:rsidRPr="002E44DB">
              <w:t>Existing Facilit</w:t>
            </w:r>
            <w:r>
              <w:t>y</w:t>
            </w:r>
          </w:p>
        </w:tc>
        <w:tc>
          <w:tcPr>
            <w:tcW w:w="3774" w:type="pct"/>
          </w:tcPr>
          <w:p w:rsidR="0031758D" w:rsidRDefault="0031758D" w:rsidP="002E44DB">
            <w:r>
              <w:t>T</w:t>
            </w:r>
            <w:r w:rsidRPr="002E44DB">
              <w:t>he Magistrates’ Court building</w:t>
            </w:r>
          </w:p>
        </w:tc>
      </w:tr>
      <w:tr w:rsidR="0031758D" w:rsidTr="005831B7">
        <w:trPr>
          <w:cantSplit/>
        </w:trPr>
        <w:tc>
          <w:tcPr>
            <w:tcW w:w="1226" w:type="pct"/>
          </w:tcPr>
          <w:p w:rsidR="0031758D" w:rsidRPr="00454882" w:rsidRDefault="0031758D" w:rsidP="00454882">
            <w:r>
              <w:t>FF&amp;E</w:t>
            </w:r>
          </w:p>
        </w:tc>
        <w:tc>
          <w:tcPr>
            <w:tcW w:w="3774" w:type="pct"/>
          </w:tcPr>
          <w:p w:rsidR="0031758D" w:rsidRPr="00454882" w:rsidRDefault="0031758D" w:rsidP="00454882">
            <w:r>
              <w:t>Furniture, fittings and equipment</w:t>
            </w:r>
          </w:p>
        </w:tc>
      </w:tr>
      <w:tr w:rsidR="0031758D" w:rsidTr="005831B7">
        <w:trPr>
          <w:cantSplit/>
        </w:trPr>
        <w:tc>
          <w:tcPr>
            <w:tcW w:w="1226" w:type="pct"/>
          </w:tcPr>
          <w:p w:rsidR="0031758D" w:rsidRDefault="0031758D" w:rsidP="00454882">
            <w:r>
              <w:t>Financial Close</w:t>
            </w:r>
          </w:p>
        </w:tc>
        <w:tc>
          <w:tcPr>
            <w:tcW w:w="3774" w:type="pct"/>
          </w:tcPr>
          <w:p w:rsidR="0031758D" w:rsidRDefault="0031758D" w:rsidP="00896488">
            <w:r>
              <w:t>The date on which Project Co satisfied all of the conditions that had to be met before its financiers made funds available to it. This occurred on 17 December 2015</w:t>
            </w:r>
          </w:p>
        </w:tc>
      </w:tr>
      <w:tr w:rsidR="0031758D" w:rsidTr="005831B7">
        <w:trPr>
          <w:cantSplit/>
        </w:trPr>
        <w:tc>
          <w:tcPr>
            <w:tcW w:w="1226" w:type="pct"/>
          </w:tcPr>
          <w:p w:rsidR="0031758D" w:rsidRDefault="0031758D" w:rsidP="00122933">
            <w:r>
              <w:t>IEOI and EOI</w:t>
            </w:r>
          </w:p>
        </w:tc>
        <w:tc>
          <w:tcPr>
            <w:tcW w:w="3774" w:type="pct"/>
          </w:tcPr>
          <w:p w:rsidR="0031758D" w:rsidRDefault="0031758D" w:rsidP="00122933">
            <w:r>
              <w:t>Invitation for Expressions of Interest and Expression of Interest</w:t>
            </w:r>
          </w:p>
        </w:tc>
      </w:tr>
      <w:tr w:rsidR="0031758D" w:rsidTr="005831B7">
        <w:trPr>
          <w:cantSplit/>
        </w:trPr>
        <w:tc>
          <w:tcPr>
            <w:tcW w:w="1226" w:type="pct"/>
          </w:tcPr>
          <w:p w:rsidR="0031758D" w:rsidRPr="00454882" w:rsidRDefault="0031758D" w:rsidP="00454882">
            <w:r>
              <w:t>JACSD</w:t>
            </w:r>
          </w:p>
        </w:tc>
        <w:tc>
          <w:tcPr>
            <w:tcW w:w="3774" w:type="pct"/>
          </w:tcPr>
          <w:p w:rsidR="0031758D" w:rsidRPr="00454882" w:rsidRDefault="0031758D" w:rsidP="00454882">
            <w:r>
              <w:t>Justice and Community Safety Directorate</w:t>
            </w:r>
          </w:p>
        </w:tc>
      </w:tr>
      <w:tr w:rsidR="0031758D" w:rsidTr="005831B7">
        <w:trPr>
          <w:cantSplit/>
        </w:trPr>
        <w:tc>
          <w:tcPr>
            <w:tcW w:w="1226" w:type="pct"/>
          </w:tcPr>
          <w:p w:rsidR="0031758D" w:rsidRDefault="0031758D" w:rsidP="00454882">
            <w:r>
              <w:t>Laing O’Rourke</w:t>
            </w:r>
          </w:p>
        </w:tc>
        <w:tc>
          <w:tcPr>
            <w:tcW w:w="3774" w:type="pct"/>
          </w:tcPr>
          <w:p w:rsidR="0031758D" w:rsidRDefault="0031758D" w:rsidP="00454882">
            <w:r w:rsidRPr="00CF5F4C">
              <w:t>Laing O’Rourke Corporation Limited</w:t>
            </w:r>
          </w:p>
        </w:tc>
      </w:tr>
      <w:tr w:rsidR="0031758D" w:rsidTr="005831B7">
        <w:trPr>
          <w:cantSplit/>
        </w:trPr>
        <w:tc>
          <w:tcPr>
            <w:tcW w:w="1226" w:type="pct"/>
          </w:tcPr>
          <w:p w:rsidR="0031758D" w:rsidRDefault="0031758D" w:rsidP="00454882">
            <w:r>
              <w:t>LORAC</w:t>
            </w:r>
          </w:p>
        </w:tc>
        <w:tc>
          <w:tcPr>
            <w:tcW w:w="3774" w:type="pct"/>
          </w:tcPr>
          <w:p w:rsidR="0031758D" w:rsidRDefault="0031758D" w:rsidP="00454882">
            <w:r w:rsidRPr="00287577">
              <w:t>Laing O’Rourke Australia Construction Pty Limited</w:t>
            </w:r>
          </w:p>
        </w:tc>
      </w:tr>
      <w:tr w:rsidR="0031758D" w:rsidTr="005831B7">
        <w:trPr>
          <w:cantSplit/>
        </w:trPr>
        <w:tc>
          <w:tcPr>
            <w:tcW w:w="1226" w:type="pct"/>
          </w:tcPr>
          <w:p w:rsidR="0031758D" w:rsidRDefault="0031758D" w:rsidP="00454882">
            <w:r w:rsidRPr="00287577">
              <w:t>Macquarie</w:t>
            </w:r>
          </w:p>
        </w:tc>
        <w:tc>
          <w:tcPr>
            <w:tcW w:w="3774" w:type="pct"/>
          </w:tcPr>
          <w:p w:rsidR="0031758D" w:rsidRDefault="0031758D" w:rsidP="00454882">
            <w:r w:rsidRPr="00287577">
              <w:t>Macquarie Corporate Holdings Pty Ltd</w:t>
            </w:r>
          </w:p>
        </w:tc>
      </w:tr>
      <w:tr w:rsidR="0031758D" w:rsidTr="005831B7">
        <w:trPr>
          <w:cantSplit/>
        </w:trPr>
        <w:tc>
          <w:tcPr>
            <w:tcW w:w="1226" w:type="pct"/>
          </w:tcPr>
          <w:p w:rsidR="0031758D" w:rsidRPr="00454882" w:rsidRDefault="0031758D" w:rsidP="00454882">
            <w:r>
              <w:t>MSP</w:t>
            </w:r>
          </w:p>
        </w:tc>
        <w:tc>
          <w:tcPr>
            <w:tcW w:w="3774" w:type="pct"/>
          </w:tcPr>
          <w:p w:rsidR="0031758D" w:rsidRPr="00454882" w:rsidRDefault="0031758D" w:rsidP="00454882">
            <w:r>
              <w:t xml:space="preserve">The Monthly Service Payment payable by the Territory to </w:t>
            </w:r>
            <w:proofErr w:type="spellStart"/>
            <w:r>
              <w:t>Juris</w:t>
            </w:r>
            <w:proofErr w:type="spellEnd"/>
            <w:r>
              <w:t xml:space="preserve"> Partnership from completion of the each Stage of the Works</w:t>
            </w:r>
          </w:p>
        </w:tc>
      </w:tr>
      <w:tr w:rsidR="0031758D" w:rsidTr="005831B7">
        <w:trPr>
          <w:cantSplit/>
        </w:trPr>
        <w:tc>
          <w:tcPr>
            <w:tcW w:w="1226" w:type="pct"/>
          </w:tcPr>
          <w:p w:rsidR="0031758D" w:rsidRDefault="0031758D" w:rsidP="00454882">
            <w:r w:rsidRPr="002E44DB">
              <w:t>New Facility</w:t>
            </w:r>
          </w:p>
        </w:tc>
        <w:tc>
          <w:tcPr>
            <w:tcW w:w="3774" w:type="pct"/>
          </w:tcPr>
          <w:p w:rsidR="0031758D" w:rsidRDefault="0031758D" w:rsidP="00896488">
            <w:r>
              <w:t>T</w:t>
            </w:r>
            <w:r w:rsidRPr="002E44DB">
              <w:t>he newly constructed parts of the Courts Facility together with the fully refurbished Supreme Court building</w:t>
            </w:r>
          </w:p>
        </w:tc>
      </w:tr>
      <w:tr w:rsidR="0031758D" w:rsidTr="005831B7">
        <w:trPr>
          <w:cantSplit/>
        </w:trPr>
        <w:tc>
          <w:tcPr>
            <w:tcW w:w="1226" w:type="pct"/>
          </w:tcPr>
          <w:p w:rsidR="0031758D" w:rsidRDefault="0031758D" w:rsidP="00454882">
            <w:r>
              <w:t>NPC</w:t>
            </w:r>
          </w:p>
        </w:tc>
        <w:tc>
          <w:tcPr>
            <w:tcW w:w="3774" w:type="pct"/>
          </w:tcPr>
          <w:p w:rsidR="0031758D" w:rsidRDefault="0031758D" w:rsidP="00454882">
            <w:r>
              <w:t>Net present cost</w:t>
            </w:r>
          </w:p>
        </w:tc>
      </w:tr>
      <w:tr w:rsidR="0031758D" w:rsidTr="005831B7">
        <w:trPr>
          <w:cantSplit/>
        </w:trPr>
        <w:tc>
          <w:tcPr>
            <w:tcW w:w="1226" w:type="pct"/>
          </w:tcPr>
          <w:p w:rsidR="0031758D" w:rsidRPr="00454882" w:rsidRDefault="0031758D" w:rsidP="00454882">
            <w:r>
              <w:t>PPP</w:t>
            </w:r>
          </w:p>
        </w:tc>
        <w:tc>
          <w:tcPr>
            <w:tcW w:w="3774" w:type="pct"/>
          </w:tcPr>
          <w:p w:rsidR="0031758D" w:rsidRPr="00454882" w:rsidRDefault="0031758D" w:rsidP="00454882">
            <w:r>
              <w:t>Public-Private Partnership</w:t>
            </w:r>
          </w:p>
        </w:tc>
      </w:tr>
      <w:tr w:rsidR="0031758D" w:rsidTr="005831B7">
        <w:trPr>
          <w:cantSplit/>
        </w:trPr>
        <w:tc>
          <w:tcPr>
            <w:tcW w:w="1226" w:type="pct"/>
          </w:tcPr>
          <w:p w:rsidR="0031758D" w:rsidRDefault="0031758D" w:rsidP="00122933">
            <w:r>
              <w:t>Preferred Respondent</w:t>
            </w:r>
          </w:p>
        </w:tc>
        <w:tc>
          <w:tcPr>
            <w:tcW w:w="3774" w:type="pct"/>
          </w:tcPr>
          <w:p w:rsidR="0031758D" w:rsidRPr="005831B7" w:rsidRDefault="0031758D" w:rsidP="005C595E">
            <w:r>
              <w:t>A Respondent who has been selected, following the RFP Phase, as preferred to proceed to the Negotiation and Completion Phase</w:t>
            </w:r>
          </w:p>
        </w:tc>
      </w:tr>
      <w:tr w:rsidR="0031758D" w:rsidTr="005831B7">
        <w:trPr>
          <w:cantSplit/>
        </w:trPr>
        <w:tc>
          <w:tcPr>
            <w:tcW w:w="1226" w:type="pct"/>
          </w:tcPr>
          <w:p w:rsidR="0031758D" w:rsidRPr="006D2673" w:rsidRDefault="0031758D" w:rsidP="00122933">
            <w:r>
              <w:t>Project</w:t>
            </w:r>
          </w:p>
        </w:tc>
        <w:tc>
          <w:tcPr>
            <w:tcW w:w="3774" w:type="pct"/>
          </w:tcPr>
          <w:p w:rsidR="0031758D" w:rsidRDefault="0031758D" w:rsidP="00122933">
            <w:r>
              <w:t>The ACT Law Courts PPP Project</w:t>
            </w:r>
          </w:p>
        </w:tc>
      </w:tr>
      <w:tr w:rsidR="0031758D" w:rsidTr="005831B7">
        <w:trPr>
          <w:cantSplit/>
        </w:trPr>
        <w:tc>
          <w:tcPr>
            <w:tcW w:w="1226" w:type="pct"/>
          </w:tcPr>
          <w:p w:rsidR="0031758D" w:rsidRPr="00575D3D" w:rsidRDefault="0031758D" w:rsidP="00122933">
            <w:r w:rsidRPr="006D2673">
              <w:t>Project Agreement</w:t>
            </w:r>
          </w:p>
        </w:tc>
        <w:tc>
          <w:tcPr>
            <w:tcW w:w="3774" w:type="pct"/>
          </w:tcPr>
          <w:p w:rsidR="0031758D" w:rsidRDefault="0031758D" w:rsidP="00122933">
            <w:r>
              <w:t>The ACT Law Courts PPP Project agreement entered</w:t>
            </w:r>
          </w:p>
          <w:p w:rsidR="0031758D" w:rsidRPr="00454882" w:rsidRDefault="0031758D" w:rsidP="00122933">
            <w:r>
              <w:t xml:space="preserve">into between </w:t>
            </w:r>
            <w:proofErr w:type="spellStart"/>
            <w:r>
              <w:t>Juris</w:t>
            </w:r>
            <w:proofErr w:type="spellEnd"/>
            <w:r>
              <w:t xml:space="preserve"> Partnership and the Territory dated 14 December 2015</w:t>
            </w:r>
          </w:p>
        </w:tc>
      </w:tr>
      <w:tr w:rsidR="0031758D" w:rsidTr="005831B7">
        <w:trPr>
          <w:cantSplit/>
        </w:trPr>
        <w:tc>
          <w:tcPr>
            <w:tcW w:w="1226" w:type="pct"/>
          </w:tcPr>
          <w:p w:rsidR="0031758D" w:rsidRDefault="0031758D" w:rsidP="00454882">
            <w:r>
              <w:lastRenderedPageBreak/>
              <w:t>Project Co</w:t>
            </w:r>
          </w:p>
        </w:tc>
        <w:tc>
          <w:tcPr>
            <w:tcW w:w="3774" w:type="pct"/>
          </w:tcPr>
          <w:p w:rsidR="0031758D" w:rsidRDefault="0031758D" w:rsidP="00896488">
            <w:r>
              <w:t xml:space="preserve">The </w:t>
            </w:r>
            <w:proofErr w:type="spellStart"/>
            <w:r>
              <w:t>Juris</w:t>
            </w:r>
            <w:proofErr w:type="spellEnd"/>
            <w:r>
              <w:t xml:space="preserve"> Partnership represented by its partners and trustees, the counterparty to the Project Agreement and the main contracting entity with the State</w:t>
            </w:r>
          </w:p>
        </w:tc>
      </w:tr>
      <w:tr w:rsidR="0031758D" w:rsidTr="005831B7">
        <w:trPr>
          <w:cantSplit/>
        </w:trPr>
        <w:tc>
          <w:tcPr>
            <w:tcW w:w="1226" w:type="pct"/>
          </w:tcPr>
          <w:p w:rsidR="0031758D" w:rsidRDefault="0031758D" w:rsidP="00122933">
            <w:r>
              <w:t>Proposal</w:t>
            </w:r>
          </w:p>
        </w:tc>
        <w:tc>
          <w:tcPr>
            <w:tcW w:w="3774" w:type="pct"/>
          </w:tcPr>
          <w:p w:rsidR="0031758D" w:rsidRDefault="0031758D" w:rsidP="00122933">
            <w:r>
              <w:t>The proposal submitted by Respondents in response to the RFP</w:t>
            </w:r>
          </w:p>
        </w:tc>
      </w:tr>
      <w:tr w:rsidR="0031758D" w:rsidTr="005831B7">
        <w:trPr>
          <w:cantSplit/>
        </w:trPr>
        <w:tc>
          <w:tcPr>
            <w:tcW w:w="1226" w:type="pct"/>
          </w:tcPr>
          <w:p w:rsidR="0031758D" w:rsidRPr="00454882" w:rsidRDefault="0031758D" w:rsidP="00454882">
            <w:r>
              <w:t>PSC</w:t>
            </w:r>
          </w:p>
        </w:tc>
        <w:tc>
          <w:tcPr>
            <w:tcW w:w="3774" w:type="pct"/>
          </w:tcPr>
          <w:p w:rsidR="0031758D" w:rsidRPr="00454882" w:rsidRDefault="0031758D" w:rsidP="00122933">
            <w:r>
              <w:t>The Public Sector Comparator for the Project, being the risk-adjusted cost of the most likely efficient form of public sector service delivery that could be employed to satisfy all elements of the output specification.</w:t>
            </w:r>
          </w:p>
        </w:tc>
      </w:tr>
      <w:tr w:rsidR="0031758D" w:rsidTr="005831B7">
        <w:trPr>
          <w:cantSplit/>
        </w:trPr>
        <w:tc>
          <w:tcPr>
            <w:tcW w:w="1226" w:type="pct"/>
          </w:tcPr>
          <w:p w:rsidR="0031758D" w:rsidRDefault="0031758D" w:rsidP="00454882">
            <w:r w:rsidRPr="002E44DB">
              <w:t>Reconditioned Area</w:t>
            </w:r>
            <w:r>
              <w:t>s</w:t>
            </w:r>
          </w:p>
        </w:tc>
        <w:tc>
          <w:tcPr>
            <w:tcW w:w="3774" w:type="pct"/>
          </w:tcPr>
          <w:p w:rsidR="0031758D" w:rsidRDefault="0031758D" w:rsidP="00896488">
            <w:r>
              <w:t>T</w:t>
            </w:r>
            <w:r w:rsidRPr="002E44DB">
              <w:t>hose parts of the Magistrates’ Court building that will be substantially reconfigured and refurbished to deliver the integrated design solution</w:t>
            </w:r>
          </w:p>
        </w:tc>
      </w:tr>
      <w:tr w:rsidR="0031758D" w:rsidTr="005831B7">
        <w:trPr>
          <w:cantSplit/>
        </w:trPr>
        <w:tc>
          <w:tcPr>
            <w:tcW w:w="1226" w:type="pct"/>
          </w:tcPr>
          <w:p w:rsidR="0031758D" w:rsidRDefault="0031758D" w:rsidP="00122933">
            <w:r>
              <w:t>Respondent</w:t>
            </w:r>
          </w:p>
        </w:tc>
        <w:tc>
          <w:tcPr>
            <w:tcW w:w="3774" w:type="pct"/>
          </w:tcPr>
          <w:p w:rsidR="0031758D" w:rsidRDefault="0031758D" w:rsidP="00122933">
            <w:r w:rsidRPr="005C595E">
              <w:t>A person, legal entity or body corporate invited to submit a proposal</w:t>
            </w:r>
          </w:p>
        </w:tc>
      </w:tr>
      <w:tr w:rsidR="0031758D" w:rsidTr="005831B7">
        <w:trPr>
          <w:cantSplit/>
        </w:trPr>
        <w:tc>
          <w:tcPr>
            <w:tcW w:w="1226" w:type="pct"/>
          </w:tcPr>
          <w:p w:rsidR="0031758D" w:rsidRDefault="0031758D" w:rsidP="00122933">
            <w:r>
              <w:t>RFP</w:t>
            </w:r>
          </w:p>
        </w:tc>
        <w:tc>
          <w:tcPr>
            <w:tcW w:w="3774" w:type="pct"/>
          </w:tcPr>
          <w:p w:rsidR="0031758D" w:rsidRDefault="0031758D" w:rsidP="00122933">
            <w:r w:rsidRPr="005831B7">
              <w:t>Request for Proposal</w:t>
            </w:r>
          </w:p>
        </w:tc>
      </w:tr>
      <w:tr w:rsidR="0031758D" w:rsidTr="005831B7">
        <w:trPr>
          <w:cantSplit/>
        </w:trPr>
        <w:tc>
          <w:tcPr>
            <w:tcW w:w="1226" w:type="pct"/>
          </w:tcPr>
          <w:p w:rsidR="0031758D" w:rsidRPr="00B90362" w:rsidRDefault="0031758D" w:rsidP="00122933">
            <w:r>
              <w:t>Services Phase</w:t>
            </w:r>
          </w:p>
        </w:tc>
        <w:tc>
          <w:tcPr>
            <w:tcW w:w="3774" w:type="pct"/>
          </w:tcPr>
          <w:p w:rsidR="0031758D" w:rsidRDefault="0031758D" w:rsidP="005C595E">
            <w:r>
              <w:t>The period from completion of Stage 1 to the expiry of the Project Agreement</w:t>
            </w:r>
          </w:p>
        </w:tc>
      </w:tr>
      <w:tr w:rsidR="0031758D" w:rsidTr="005831B7">
        <w:trPr>
          <w:cantSplit/>
        </w:trPr>
        <w:tc>
          <w:tcPr>
            <w:tcW w:w="1226" w:type="pct"/>
          </w:tcPr>
          <w:p w:rsidR="0031758D" w:rsidRDefault="0031758D" w:rsidP="00122933">
            <w:r>
              <w:t>SMBC</w:t>
            </w:r>
          </w:p>
        </w:tc>
        <w:tc>
          <w:tcPr>
            <w:tcW w:w="3774" w:type="pct"/>
          </w:tcPr>
          <w:p w:rsidR="0031758D" w:rsidRDefault="0031758D" w:rsidP="005C595E">
            <w:r w:rsidRPr="00287577">
              <w:t>Sumitomo Mitsui Banking Corporation</w:t>
            </w:r>
          </w:p>
        </w:tc>
      </w:tr>
      <w:tr w:rsidR="0031758D" w:rsidTr="005831B7">
        <w:trPr>
          <w:cantSplit/>
        </w:trPr>
        <w:tc>
          <w:tcPr>
            <w:tcW w:w="1226" w:type="pct"/>
          </w:tcPr>
          <w:p w:rsidR="0031758D" w:rsidRPr="00454882" w:rsidRDefault="0031758D" w:rsidP="00454882">
            <w:r>
              <w:t>Territory</w:t>
            </w:r>
          </w:p>
        </w:tc>
        <w:tc>
          <w:tcPr>
            <w:tcW w:w="3774" w:type="pct"/>
          </w:tcPr>
          <w:p w:rsidR="0031758D" w:rsidRPr="00454882" w:rsidRDefault="0031758D" w:rsidP="00454882">
            <w:r>
              <w:t>T</w:t>
            </w:r>
            <w:r w:rsidRPr="00122933">
              <w:t>he body politic established by section 7 of the Australian Capital Territory (Self-Government) Act 1988 (</w:t>
            </w:r>
            <w:proofErr w:type="spellStart"/>
            <w:r w:rsidRPr="00122933">
              <w:t>Cth</w:t>
            </w:r>
            <w:proofErr w:type="spellEnd"/>
            <w:r w:rsidRPr="00122933">
              <w:t>)</w:t>
            </w:r>
          </w:p>
        </w:tc>
      </w:tr>
    </w:tbl>
    <w:p w:rsidR="00454882" w:rsidRDefault="00454882" w:rsidP="00454882"/>
    <w:p w:rsidR="00454882" w:rsidRPr="008F1DA0" w:rsidRDefault="00454882" w:rsidP="00454882"/>
    <w:p w:rsidR="00454882" w:rsidRPr="00454882" w:rsidRDefault="00454882" w:rsidP="00454882">
      <w:pPr>
        <w:pStyle w:val="AppendixHeading"/>
      </w:pPr>
      <w:bookmarkStart w:id="72" w:name="_Toc445867816"/>
      <w:bookmarkStart w:id="73" w:name="_Toc453769004"/>
      <w:r>
        <w:lastRenderedPageBreak/>
        <w:t>– Useful references</w:t>
      </w:r>
      <w:bookmarkEnd w:id="72"/>
      <w:bookmarkEnd w:id="73"/>
    </w:p>
    <w:p w:rsidR="00454882" w:rsidRDefault="00454882" w:rsidP="00454882">
      <w:r>
        <w:t>Project documentation, including the Proje</w:t>
      </w:r>
      <w:r w:rsidR="00914652">
        <w:t xml:space="preserve">ct Agreement, is available at: </w:t>
      </w:r>
      <w:hyperlink r:id="rId36" w:history="1">
        <w:r w:rsidR="00914652" w:rsidRPr="00EF7C67">
          <w:rPr>
            <w:rStyle w:val="Hyperlink"/>
          </w:rPr>
          <w:t>www.procurement.act.gov.au/contracts</w:t>
        </w:r>
      </w:hyperlink>
      <w:r w:rsidR="00914652">
        <w:t xml:space="preserve">. </w:t>
      </w:r>
    </w:p>
    <w:p w:rsidR="00454882" w:rsidRDefault="00454882" w:rsidP="00454882">
      <w:r>
        <w:t>ACT Government Treasury policy guidan</w:t>
      </w:r>
      <w:r w:rsidR="00914652">
        <w:t xml:space="preserve">ce and Project information </w:t>
      </w:r>
      <w:r w:rsidR="009E0769">
        <w:t xml:space="preserve">is available </w:t>
      </w:r>
      <w:r w:rsidR="00914652">
        <w:t xml:space="preserve">at: </w:t>
      </w:r>
      <w:hyperlink r:id="rId37" w:history="1">
        <w:r w:rsidR="00914652" w:rsidRPr="00EF7C67">
          <w:rPr>
            <w:rStyle w:val="Hyperlink"/>
          </w:rPr>
          <w:t>http://apps.treasury.act.gov.au/partnerships-framework</w:t>
        </w:r>
      </w:hyperlink>
      <w:r w:rsidR="00914652">
        <w:t xml:space="preserve">. </w:t>
      </w:r>
    </w:p>
    <w:p w:rsidR="00454882" w:rsidRDefault="00454882" w:rsidP="00454882">
      <w:r>
        <w:t>The Justice an</w:t>
      </w:r>
      <w:r w:rsidR="00914652">
        <w:t>d Community Safety Directorate</w:t>
      </w:r>
      <w:r w:rsidR="009E0769">
        <w:t>:</w:t>
      </w:r>
      <w:r w:rsidR="00914652">
        <w:t xml:space="preserve"> </w:t>
      </w:r>
      <w:hyperlink r:id="rId38" w:history="1">
        <w:r w:rsidR="00914652" w:rsidRPr="00EF7C67">
          <w:rPr>
            <w:rStyle w:val="Hyperlink"/>
          </w:rPr>
          <w:t>www.justice.act.gov.au</w:t>
        </w:r>
      </w:hyperlink>
    </w:p>
    <w:p w:rsidR="00454882" w:rsidRPr="00356C24" w:rsidRDefault="009E0769" w:rsidP="00454882">
      <w:r>
        <w:t xml:space="preserve">The Project website: </w:t>
      </w:r>
      <w:hyperlink r:id="rId39" w:history="1">
        <w:r w:rsidRPr="00EF7C67">
          <w:rPr>
            <w:rStyle w:val="Hyperlink"/>
          </w:rPr>
          <w:t>http://actlawcourtsproject.com.au</w:t>
        </w:r>
      </w:hyperlink>
      <w:r>
        <w:t xml:space="preserve"> </w:t>
      </w:r>
    </w:p>
    <w:p w:rsidR="00454882" w:rsidRPr="00454882" w:rsidRDefault="00454882" w:rsidP="00454882">
      <w:pPr>
        <w:pStyle w:val="AppendixHeading"/>
      </w:pPr>
      <w:bookmarkStart w:id="74" w:name="_Toc445867817"/>
      <w:bookmarkStart w:id="75" w:name="_Ref451244215"/>
      <w:bookmarkStart w:id="76" w:name="_Toc453769005"/>
      <w:r>
        <w:lastRenderedPageBreak/>
        <w:t>– Key contact details</w:t>
      </w:r>
      <w:bookmarkEnd w:id="74"/>
      <w:bookmarkEnd w:id="75"/>
      <w:bookmarkEnd w:id="76"/>
    </w:p>
    <w:p w:rsidR="00454882" w:rsidRPr="000C7C4D" w:rsidRDefault="00454882" w:rsidP="000C7C4D">
      <w:pPr>
        <w:pStyle w:val="AppendixSub"/>
      </w:pPr>
      <w:r w:rsidRPr="000C7C4D">
        <w:t>Justice and Community Safety Directorate</w:t>
      </w:r>
    </w:p>
    <w:p w:rsidR="00454882" w:rsidRDefault="00454882" w:rsidP="00454882">
      <w:r>
        <w:t>Website:</w:t>
      </w:r>
      <w:r w:rsidR="00914652">
        <w:t xml:space="preserve"> </w:t>
      </w:r>
      <w:hyperlink r:id="rId40" w:history="1">
        <w:r w:rsidR="00914652" w:rsidRPr="00EF7C67">
          <w:rPr>
            <w:rStyle w:val="Hyperlink"/>
          </w:rPr>
          <w:t>www.justice.act.gov.au</w:t>
        </w:r>
      </w:hyperlink>
      <w:r w:rsidR="00914652">
        <w:t xml:space="preserve"> </w:t>
      </w:r>
    </w:p>
    <w:p w:rsidR="00454882" w:rsidRDefault="00914652" w:rsidP="00914652">
      <w:r>
        <w:t>Executive Director, Capital Works &amp; Infrastructure</w:t>
      </w:r>
      <w:r>
        <w:br/>
        <w:t>Justice and Community Safety Directorate</w:t>
      </w:r>
      <w:r>
        <w:br/>
        <w:t xml:space="preserve">Level 7, 12 Moore Street, </w:t>
      </w:r>
      <w:r>
        <w:br/>
        <w:t>Canberra ACT 2601</w:t>
      </w:r>
    </w:p>
    <w:p w:rsidR="00454882" w:rsidRDefault="00454882" w:rsidP="00454882">
      <w:r>
        <w:t xml:space="preserve">Phone (02) </w:t>
      </w:r>
      <w:r w:rsidR="00914652">
        <w:t>6205 3505</w:t>
      </w:r>
    </w:p>
    <w:p w:rsidR="00454882" w:rsidRPr="000C7C4D" w:rsidRDefault="00F054A9" w:rsidP="000C7C4D">
      <w:pPr>
        <w:pStyle w:val="AppendixSub"/>
      </w:pPr>
      <w:r>
        <w:t>Chief Minister, Treasury and Economic Development Directorate (CMTEDD)</w:t>
      </w:r>
    </w:p>
    <w:p w:rsidR="00454882" w:rsidRPr="00914652" w:rsidRDefault="00454882" w:rsidP="00914652">
      <w:r w:rsidRPr="00914652">
        <w:t>Website</w:t>
      </w:r>
      <w:r w:rsidR="00914652" w:rsidRPr="00914652">
        <w:t xml:space="preserve">: </w:t>
      </w:r>
      <w:hyperlink r:id="rId41" w:history="1">
        <w:r w:rsidR="00914652" w:rsidRPr="00EF7C67">
          <w:rPr>
            <w:rStyle w:val="Hyperlink"/>
          </w:rPr>
          <w:t>www.treasury.act.gov.au</w:t>
        </w:r>
      </w:hyperlink>
      <w:r w:rsidR="00914652" w:rsidRPr="00914652">
        <w:t xml:space="preserve"> </w:t>
      </w:r>
    </w:p>
    <w:p w:rsidR="00454882" w:rsidRDefault="00914652" w:rsidP="00914652">
      <w:r>
        <w:t>Executive Director, Infrastructure Finance and Advisory</w:t>
      </w:r>
      <w:r>
        <w:br/>
        <w:t>Chief Minister, Treasury and Economic Development Directorate</w:t>
      </w:r>
      <w:r>
        <w:br/>
        <w:t>Nara Centre, 1 Constitution Avenue</w:t>
      </w:r>
      <w:r>
        <w:br/>
        <w:t>Canberra ACT 2601</w:t>
      </w:r>
    </w:p>
    <w:p w:rsidR="00454882" w:rsidRPr="00356C24" w:rsidRDefault="00454882" w:rsidP="00454882">
      <w:r>
        <w:t xml:space="preserve">Phone: (02) </w:t>
      </w:r>
      <w:r w:rsidR="00914652">
        <w:t>6207 5650</w:t>
      </w:r>
    </w:p>
    <w:p w:rsidR="00454882" w:rsidRPr="000C7C4D" w:rsidRDefault="00454882" w:rsidP="000C7C4D">
      <w:pPr>
        <w:pStyle w:val="AppendixHeading"/>
      </w:pPr>
      <w:bookmarkStart w:id="77" w:name="_Toc445867818"/>
      <w:bookmarkStart w:id="78" w:name="_Ref451250025"/>
      <w:bookmarkStart w:id="79" w:name="_Toc453769006"/>
      <w:r w:rsidRPr="000C7C4D">
        <w:lastRenderedPageBreak/>
        <w:t>– RFP Evaluation Criteria</w:t>
      </w:r>
      <w:bookmarkEnd w:id="77"/>
      <w:bookmarkEnd w:id="78"/>
      <w:bookmarkEnd w:id="79"/>
    </w:p>
    <w:p w:rsidR="00454882" w:rsidRPr="00DB28CA" w:rsidRDefault="00454882" w:rsidP="00454882">
      <w:r w:rsidRPr="00DB28CA">
        <w:t xml:space="preserve">The </w:t>
      </w:r>
      <w:r>
        <w:t>Territory</w:t>
      </w:r>
      <w:r w:rsidRPr="00DB28CA">
        <w:t xml:space="preserve"> evaluated each Proposal against the following Evaluation Criteria.</w:t>
      </w:r>
    </w:p>
    <w:p w:rsidR="00454882" w:rsidRPr="00454882" w:rsidRDefault="00454882" w:rsidP="00454882">
      <w:pPr>
        <w:pStyle w:val="Heading4"/>
      </w:pPr>
      <w:r w:rsidRPr="00454882">
        <w:t xml:space="preserve">Criterion </w:t>
      </w:r>
      <w:proofErr w:type="gramStart"/>
      <w:r w:rsidRPr="00454882">
        <w:t>A</w:t>
      </w:r>
      <w:proofErr w:type="gramEnd"/>
      <w:r w:rsidRPr="00454882">
        <w:t xml:space="preserve"> - Commercial</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Pr="00740F0F" w:rsidRDefault="00454882" w:rsidP="00454882">
      <w:pPr>
        <w:pStyle w:val="ListBullet"/>
      </w:pPr>
      <w:r w:rsidRPr="00454882">
        <w:t>Commercial Solution</w:t>
      </w:r>
      <w:r w:rsidRPr="00740F0F">
        <w:t xml:space="preserve"> - the commercial solution including the intra-consortium commercial relationships and the level and appropriateness of any financial support</w:t>
      </w:r>
    </w:p>
    <w:p w:rsidR="00454882" w:rsidRPr="00740F0F" w:rsidRDefault="00454882" w:rsidP="00454882">
      <w:pPr>
        <w:pStyle w:val="ListBullet"/>
      </w:pPr>
      <w:r w:rsidRPr="00454882">
        <w:t>Commercial Departures</w:t>
      </w:r>
      <w:r w:rsidRPr="00740F0F">
        <w:t xml:space="preserve"> - the nature and extent of the proposed departures from the draft Contractual Documents.</w:t>
      </w:r>
    </w:p>
    <w:p w:rsidR="00454882" w:rsidRPr="00454882" w:rsidRDefault="00454882" w:rsidP="00454882">
      <w:pPr>
        <w:pStyle w:val="Heading4"/>
      </w:pPr>
      <w:r>
        <w:t>Criterion</w:t>
      </w:r>
      <w:r w:rsidRPr="00454882">
        <w:t xml:space="preserve"> B - Financial</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Default="00454882" w:rsidP="00454882">
      <w:pPr>
        <w:pStyle w:val="ListBullet"/>
      </w:pPr>
      <w:r w:rsidRPr="00454882">
        <w:t xml:space="preserve">Funding Structure </w:t>
      </w:r>
      <w:r>
        <w:t>–</w:t>
      </w:r>
      <w:r w:rsidRPr="00454882">
        <w:t xml:space="preserve"> </w:t>
      </w:r>
      <w:r>
        <w:t>the</w:t>
      </w:r>
      <w:r w:rsidRPr="00454882">
        <w:t xml:space="preserve"> </w:t>
      </w:r>
      <w:r>
        <w:t>appropriateness,</w:t>
      </w:r>
      <w:r w:rsidRPr="00454882">
        <w:t xml:space="preserve"> </w:t>
      </w:r>
      <w:r>
        <w:t>competitiveness</w:t>
      </w:r>
      <w:r w:rsidRPr="00454882">
        <w:t xml:space="preserve"> </w:t>
      </w:r>
      <w:r>
        <w:t>and</w:t>
      </w:r>
      <w:r w:rsidRPr="00454882">
        <w:t xml:space="preserve"> </w:t>
      </w:r>
      <w:r>
        <w:t>flexibility</w:t>
      </w:r>
      <w:r w:rsidRPr="00454882">
        <w:t xml:space="preserve"> </w:t>
      </w:r>
      <w:r>
        <w:t>of</w:t>
      </w:r>
      <w:r w:rsidRPr="00454882">
        <w:t xml:space="preserve"> </w:t>
      </w:r>
      <w:r>
        <w:t>the</w:t>
      </w:r>
      <w:r w:rsidRPr="00454882">
        <w:t xml:space="preserve"> </w:t>
      </w:r>
      <w:r>
        <w:t>funding</w:t>
      </w:r>
      <w:r w:rsidRPr="00454882">
        <w:t xml:space="preserve"> </w:t>
      </w:r>
      <w:r>
        <w:t>structure</w:t>
      </w:r>
    </w:p>
    <w:p w:rsidR="00454882" w:rsidRDefault="00454882" w:rsidP="00454882">
      <w:pPr>
        <w:pStyle w:val="ListBullet"/>
      </w:pPr>
      <w:r w:rsidRPr="00454882">
        <w:t xml:space="preserve">Certainty of Funding </w:t>
      </w:r>
      <w:r>
        <w:t>-</w:t>
      </w:r>
      <w:r w:rsidRPr="00454882">
        <w:t xml:space="preserve"> </w:t>
      </w:r>
      <w:r>
        <w:t>the</w:t>
      </w:r>
      <w:r w:rsidRPr="00454882">
        <w:t xml:space="preserve"> </w:t>
      </w:r>
      <w:r>
        <w:t>certainty</w:t>
      </w:r>
      <w:r w:rsidRPr="00454882">
        <w:t xml:space="preserve"> </w:t>
      </w:r>
      <w:r>
        <w:t>and</w:t>
      </w:r>
      <w:r w:rsidRPr="00454882">
        <w:t xml:space="preserve"> </w:t>
      </w:r>
      <w:r>
        <w:t>robustness</w:t>
      </w:r>
      <w:r w:rsidRPr="00454882">
        <w:t xml:space="preserve"> </w:t>
      </w:r>
      <w:r>
        <w:t>of</w:t>
      </w:r>
      <w:r w:rsidRPr="00454882">
        <w:t xml:space="preserve"> </w:t>
      </w:r>
      <w:r>
        <w:t>funding</w:t>
      </w:r>
    </w:p>
    <w:p w:rsidR="00454882" w:rsidRDefault="00454882" w:rsidP="00454882">
      <w:pPr>
        <w:pStyle w:val="ListBullet"/>
      </w:pPr>
      <w:r w:rsidRPr="00454882">
        <w:t xml:space="preserve">Financial Assumptions </w:t>
      </w:r>
      <w:r>
        <w:t>-</w:t>
      </w:r>
      <w:r w:rsidRPr="00454882">
        <w:t xml:space="preserve"> </w:t>
      </w:r>
      <w:r>
        <w:t>the</w:t>
      </w:r>
      <w:r w:rsidRPr="00454882">
        <w:t xml:space="preserve"> </w:t>
      </w:r>
      <w:r>
        <w:t>robustness</w:t>
      </w:r>
      <w:r w:rsidRPr="00454882">
        <w:t xml:space="preserve"> </w:t>
      </w:r>
      <w:r>
        <w:t>of</w:t>
      </w:r>
      <w:r w:rsidRPr="00454882">
        <w:t xml:space="preserve"> </w:t>
      </w:r>
      <w:r>
        <w:t>the</w:t>
      </w:r>
      <w:r w:rsidRPr="00454882">
        <w:t xml:space="preserve"> </w:t>
      </w:r>
      <w:r>
        <w:t>financial</w:t>
      </w:r>
      <w:r w:rsidRPr="00454882">
        <w:t xml:space="preserve"> </w:t>
      </w:r>
      <w:r>
        <w:t>assumptions.</w:t>
      </w:r>
    </w:p>
    <w:p w:rsidR="00454882" w:rsidRPr="00454882" w:rsidRDefault="00454882" w:rsidP="00454882">
      <w:pPr>
        <w:pStyle w:val="Heading4"/>
      </w:pPr>
      <w:r>
        <w:t>Criterion</w:t>
      </w:r>
      <w:r w:rsidRPr="00454882">
        <w:t xml:space="preserve"> C – Commercial Opportunities</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appropriateness</w:t>
      </w:r>
      <w:r w:rsidRPr="00454882">
        <w:t xml:space="preserve"> </w:t>
      </w:r>
      <w:r>
        <w:t>and</w:t>
      </w:r>
      <w:r w:rsidRPr="00454882">
        <w:t xml:space="preserve"> </w:t>
      </w:r>
      <w:r>
        <w:t>value-for-money</w:t>
      </w:r>
      <w:r w:rsidRPr="00454882">
        <w:t xml:space="preserve"> </w:t>
      </w:r>
      <w:r>
        <w:t>of</w:t>
      </w:r>
      <w:r w:rsidRPr="00454882">
        <w:t xml:space="preserve"> </w:t>
      </w:r>
      <w:r>
        <w:t>the</w:t>
      </w:r>
      <w:r w:rsidRPr="00454882">
        <w:t xml:space="preserve"> </w:t>
      </w:r>
      <w:r>
        <w:t>proposed</w:t>
      </w:r>
      <w:r w:rsidRPr="00454882">
        <w:t xml:space="preserve"> </w:t>
      </w:r>
      <w:r>
        <w:t>Commercial</w:t>
      </w:r>
      <w:r w:rsidRPr="00454882">
        <w:t xml:space="preserve"> </w:t>
      </w:r>
      <w:r>
        <w:t>Opportunities.</w:t>
      </w:r>
    </w:p>
    <w:p w:rsidR="00454882" w:rsidRPr="00454882" w:rsidRDefault="00454882" w:rsidP="00454882">
      <w:pPr>
        <w:pStyle w:val="Heading4"/>
      </w:pPr>
      <w:r>
        <w:t>Criterion</w:t>
      </w:r>
      <w:r w:rsidRPr="00454882">
        <w:t xml:space="preserve"> D - Risk Adjusted Cost</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whole-of-life,</w:t>
      </w:r>
      <w:r w:rsidRPr="00454882">
        <w:t xml:space="preserve"> </w:t>
      </w:r>
      <w:r>
        <w:t>risk-adjusted</w:t>
      </w:r>
      <w:r w:rsidRPr="00454882">
        <w:t xml:space="preserve"> </w:t>
      </w:r>
      <w:r>
        <w:t>cost</w:t>
      </w:r>
      <w:r w:rsidRPr="00454882">
        <w:t xml:space="preserve"> </w:t>
      </w:r>
      <w:r>
        <w:t>of</w:t>
      </w:r>
      <w:r w:rsidRPr="00454882">
        <w:t xml:space="preserve"> </w:t>
      </w:r>
      <w:r>
        <w:t>the</w:t>
      </w:r>
      <w:r w:rsidRPr="00454882">
        <w:t xml:space="preserve"> </w:t>
      </w:r>
      <w:r>
        <w:t>Proposals</w:t>
      </w:r>
      <w:r w:rsidRPr="00454882">
        <w:t xml:space="preserve"> </w:t>
      </w:r>
      <w:r>
        <w:t>by</w:t>
      </w:r>
      <w:r w:rsidRPr="00454882">
        <w:t xml:space="preserve"> </w:t>
      </w:r>
      <w:r>
        <w:t>taking</w:t>
      </w:r>
      <w:r w:rsidRPr="00454882">
        <w:t xml:space="preserve"> </w:t>
      </w:r>
      <w:r>
        <w:t>into</w:t>
      </w:r>
      <w:r w:rsidRPr="00454882">
        <w:t xml:space="preserve"> </w:t>
      </w:r>
      <w:r>
        <w:t>account</w:t>
      </w:r>
      <w:r w:rsidRPr="00454882">
        <w:t xml:space="preserve"> </w:t>
      </w:r>
      <w:r>
        <w:t>the</w:t>
      </w:r>
      <w:r w:rsidRPr="00454882">
        <w:t xml:space="preserve"> </w:t>
      </w:r>
      <w:r>
        <w:t>financial</w:t>
      </w:r>
      <w:r w:rsidRPr="00454882">
        <w:t xml:space="preserve"> </w:t>
      </w:r>
      <w:r>
        <w:t>and</w:t>
      </w:r>
      <w:r w:rsidRPr="00454882">
        <w:t xml:space="preserve"> </w:t>
      </w:r>
      <w:r>
        <w:t>risk</w:t>
      </w:r>
      <w:r w:rsidRPr="00454882">
        <w:t xml:space="preserve"> </w:t>
      </w:r>
      <w:r>
        <w:t>consequences</w:t>
      </w:r>
      <w:r w:rsidRPr="00454882">
        <w:t xml:space="preserve"> </w:t>
      </w:r>
      <w:r>
        <w:t>of</w:t>
      </w:r>
      <w:r w:rsidRPr="00454882">
        <w:t xml:space="preserve"> </w:t>
      </w:r>
      <w:r>
        <w:t>the</w:t>
      </w:r>
      <w:r w:rsidRPr="00454882">
        <w:t xml:space="preserve"> </w:t>
      </w:r>
      <w:r>
        <w:t>each</w:t>
      </w:r>
      <w:r w:rsidRPr="00454882">
        <w:t xml:space="preserve"> </w:t>
      </w:r>
      <w:r>
        <w:t>proposal.</w:t>
      </w:r>
    </w:p>
    <w:p w:rsidR="00454882" w:rsidRPr="00454882" w:rsidRDefault="00454882" w:rsidP="00454882">
      <w:pPr>
        <w:pStyle w:val="Heading4"/>
      </w:pPr>
      <w:r>
        <w:t>Criterion</w:t>
      </w:r>
      <w:r w:rsidRPr="00454882">
        <w:t xml:space="preserve"> E – Master Plan and Architectural Design</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Default="00454882" w:rsidP="00454882">
      <w:pPr>
        <w:pStyle w:val="ListBullet"/>
      </w:pPr>
      <w:r w:rsidRPr="00454882">
        <w:t xml:space="preserve">Site Plan </w:t>
      </w:r>
      <w:r>
        <w:t>-</w:t>
      </w:r>
      <w:r w:rsidRPr="00454882">
        <w:t xml:space="preserve"> </w:t>
      </w:r>
      <w:r>
        <w:t>the</w:t>
      </w:r>
      <w:r w:rsidRPr="00454882">
        <w:t xml:space="preserve"> </w:t>
      </w:r>
      <w:r>
        <w:t>appropriateness</w:t>
      </w:r>
      <w:r w:rsidRPr="00454882">
        <w:t xml:space="preserve"> </w:t>
      </w:r>
      <w:r>
        <w:t>of</w:t>
      </w:r>
      <w:r w:rsidRPr="00454882">
        <w:t xml:space="preserve"> </w:t>
      </w:r>
      <w:r>
        <w:t>the</w:t>
      </w:r>
      <w:r w:rsidRPr="00454882">
        <w:t xml:space="preserve"> </w:t>
      </w:r>
      <w:r>
        <w:t>site plan for the Courts Facility</w:t>
      </w:r>
    </w:p>
    <w:p w:rsidR="00454882" w:rsidRDefault="00454882" w:rsidP="00454882">
      <w:pPr>
        <w:pStyle w:val="ListBullet"/>
      </w:pPr>
      <w:r w:rsidRPr="00454882">
        <w:t xml:space="preserve">Architectural Form </w:t>
      </w:r>
      <w:r>
        <w:t>–</w:t>
      </w:r>
      <w:r w:rsidRPr="00454882">
        <w:t xml:space="preserve"> </w:t>
      </w:r>
      <w:r>
        <w:t>the</w:t>
      </w:r>
      <w:r w:rsidRPr="00454882">
        <w:t xml:space="preserve"> </w:t>
      </w:r>
      <w:r>
        <w:t>external</w:t>
      </w:r>
      <w:r w:rsidRPr="00454882">
        <w:t xml:space="preserve"> </w:t>
      </w:r>
      <w:r>
        <w:t>architectural</w:t>
      </w:r>
      <w:r w:rsidRPr="00454882">
        <w:t xml:space="preserve"> </w:t>
      </w:r>
      <w:r>
        <w:t>form</w:t>
      </w:r>
      <w:r w:rsidRPr="00454882">
        <w:t xml:space="preserve"> </w:t>
      </w:r>
      <w:r>
        <w:t>of</w:t>
      </w:r>
      <w:r w:rsidRPr="00454882">
        <w:t xml:space="preserve"> </w:t>
      </w:r>
      <w:r>
        <w:t>the</w:t>
      </w:r>
      <w:r w:rsidRPr="00454882">
        <w:t xml:space="preserve"> </w:t>
      </w:r>
      <w:r>
        <w:t>proposed</w:t>
      </w:r>
      <w:r w:rsidRPr="00454882">
        <w:t xml:space="preserve"> </w:t>
      </w:r>
      <w:r>
        <w:t>design</w:t>
      </w:r>
      <w:r w:rsidRPr="00454882">
        <w:t xml:space="preserve"> </w:t>
      </w:r>
      <w:r>
        <w:t>of</w:t>
      </w:r>
      <w:r w:rsidRPr="00454882">
        <w:t xml:space="preserve"> </w:t>
      </w:r>
      <w:r>
        <w:t>the</w:t>
      </w:r>
      <w:r w:rsidRPr="00454882">
        <w:t xml:space="preserve"> </w:t>
      </w:r>
      <w:r>
        <w:t>New</w:t>
      </w:r>
      <w:r w:rsidRPr="00454882">
        <w:t xml:space="preserve"> </w:t>
      </w:r>
      <w:r>
        <w:t>Facility</w:t>
      </w:r>
    </w:p>
    <w:p w:rsidR="00454882" w:rsidRDefault="00454882" w:rsidP="00454882">
      <w:pPr>
        <w:pStyle w:val="ListBullet"/>
      </w:pPr>
      <w:r w:rsidRPr="00454882">
        <w:t xml:space="preserve">Landscape </w:t>
      </w:r>
      <w:r>
        <w:t>–</w:t>
      </w:r>
      <w:r w:rsidRPr="00454882">
        <w:t xml:space="preserve"> </w:t>
      </w:r>
      <w:r>
        <w:t>the</w:t>
      </w:r>
      <w:r w:rsidRPr="00454882">
        <w:t xml:space="preserve"> </w:t>
      </w:r>
      <w:r>
        <w:t>appropriateness</w:t>
      </w:r>
      <w:r w:rsidRPr="00454882">
        <w:t xml:space="preserve"> </w:t>
      </w:r>
      <w:r>
        <w:t>of</w:t>
      </w:r>
      <w:r w:rsidRPr="00454882">
        <w:t xml:space="preserve"> </w:t>
      </w:r>
      <w:r>
        <w:t>the</w:t>
      </w:r>
      <w:r w:rsidRPr="00454882">
        <w:t xml:space="preserve"> </w:t>
      </w:r>
      <w:r>
        <w:t>quality</w:t>
      </w:r>
      <w:r w:rsidRPr="00454882">
        <w:t xml:space="preserve"> </w:t>
      </w:r>
      <w:r>
        <w:t>and</w:t>
      </w:r>
      <w:r w:rsidRPr="00454882">
        <w:t xml:space="preserve"> </w:t>
      </w:r>
      <w:r>
        <w:t>layout</w:t>
      </w:r>
      <w:r w:rsidRPr="00454882">
        <w:t xml:space="preserve"> </w:t>
      </w:r>
      <w:r>
        <w:t>of</w:t>
      </w:r>
      <w:r w:rsidRPr="00454882">
        <w:t xml:space="preserve"> </w:t>
      </w:r>
      <w:r>
        <w:t>the</w:t>
      </w:r>
      <w:r w:rsidRPr="00454882">
        <w:t xml:space="preserve"> </w:t>
      </w:r>
      <w:r>
        <w:t>landscaping</w:t>
      </w:r>
      <w:r w:rsidRPr="00454882">
        <w:t xml:space="preserve"> </w:t>
      </w:r>
      <w:r>
        <w:t>solution</w:t>
      </w:r>
    </w:p>
    <w:p w:rsidR="00454882" w:rsidRPr="00454882" w:rsidRDefault="00454882" w:rsidP="00454882">
      <w:pPr>
        <w:pStyle w:val="Heading4"/>
      </w:pPr>
      <w:r>
        <w:t>Criterion</w:t>
      </w:r>
      <w:r w:rsidRPr="00454882">
        <w:t xml:space="preserve"> F – Functional and Operational Design</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Default="00454882" w:rsidP="00454882">
      <w:pPr>
        <w:pStyle w:val="ListBullet"/>
      </w:pPr>
      <w:r w:rsidRPr="00454882">
        <w:t xml:space="preserve">Functionality and Operational Efficiency </w:t>
      </w:r>
      <w:r>
        <w:t>–</w:t>
      </w:r>
      <w:r w:rsidRPr="00454882">
        <w:t xml:space="preserve"> </w:t>
      </w:r>
      <w:r>
        <w:t>the</w:t>
      </w:r>
      <w:r w:rsidRPr="00454882">
        <w:t xml:space="preserve"> functionality </w:t>
      </w:r>
      <w:r>
        <w:t>and</w:t>
      </w:r>
      <w:r w:rsidRPr="00454882">
        <w:t xml:space="preserve"> </w:t>
      </w:r>
      <w:r>
        <w:t>operational</w:t>
      </w:r>
      <w:r w:rsidRPr="00454882">
        <w:t xml:space="preserve"> efficiency </w:t>
      </w:r>
      <w:r>
        <w:t>of</w:t>
      </w:r>
      <w:r w:rsidRPr="00454882">
        <w:t xml:space="preserve"> </w:t>
      </w:r>
      <w:r>
        <w:t>the</w:t>
      </w:r>
      <w:r w:rsidRPr="00454882">
        <w:t xml:space="preserve"> </w:t>
      </w:r>
      <w:r>
        <w:t>proposed</w:t>
      </w:r>
      <w:r w:rsidRPr="00454882">
        <w:t xml:space="preserve"> design</w:t>
      </w:r>
    </w:p>
    <w:p w:rsidR="00454882" w:rsidRDefault="00454882" w:rsidP="00454882">
      <w:pPr>
        <w:pStyle w:val="ListBullet"/>
      </w:pPr>
      <w:r w:rsidRPr="00454882">
        <w:t xml:space="preserve">Interior Design </w:t>
      </w:r>
      <w:r>
        <w:t>–</w:t>
      </w:r>
      <w:r w:rsidRPr="00454882">
        <w:t xml:space="preserve"> </w:t>
      </w:r>
      <w:r>
        <w:t>the</w:t>
      </w:r>
      <w:r w:rsidRPr="00454882">
        <w:t xml:space="preserve"> appropriateness </w:t>
      </w:r>
      <w:r>
        <w:t>and</w:t>
      </w:r>
      <w:r w:rsidRPr="00454882">
        <w:t xml:space="preserve"> quality </w:t>
      </w:r>
      <w:r>
        <w:t>of</w:t>
      </w:r>
      <w:r w:rsidRPr="00454882">
        <w:t xml:space="preserve"> </w:t>
      </w:r>
      <w:r>
        <w:t>the</w:t>
      </w:r>
      <w:r w:rsidRPr="00454882">
        <w:t xml:space="preserve"> proposed interior </w:t>
      </w:r>
      <w:r>
        <w:t>design</w:t>
      </w:r>
    </w:p>
    <w:p w:rsidR="00454882" w:rsidRDefault="00454882" w:rsidP="00454882">
      <w:pPr>
        <w:pStyle w:val="ListBullet"/>
      </w:pPr>
      <w:r w:rsidRPr="00454882">
        <w:lastRenderedPageBreak/>
        <w:t xml:space="preserve">Engineering services </w:t>
      </w:r>
      <w:r>
        <w:t>–</w:t>
      </w:r>
      <w:r w:rsidRPr="00454882">
        <w:t xml:space="preserve"> the appropriateness and quality </w:t>
      </w:r>
      <w:r>
        <w:t>of</w:t>
      </w:r>
      <w:r w:rsidRPr="00454882">
        <w:t xml:space="preserve"> the engineering and building infrastructure services</w:t>
      </w:r>
    </w:p>
    <w:p w:rsidR="00454882" w:rsidRDefault="00454882" w:rsidP="00454882">
      <w:pPr>
        <w:pStyle w:val="ListBullet"/>
      </w:pPr>
      <w:r w:rsidRPr="00454882">
        <w:t xml:space="preserve">Flexibility and expansion capability </w:t>
      </w:r>
      <w:r>
        <w:t>–</w:t>
      </w:r>
      <w:r w:rsidRPr="00454882">
        <w:t xml:space="preserve"> </w:t>
      </w:r>
      <w:r>
        <w:t>the</w:t>
      </w:r>
      <w:r w:rsidRPr="00454882">
        <w:t xml:space="preserve"> </w:t>
      </w:r>
      <w:r>
        <w:t>flexibility</w:t>
      </w:r>
      <w:r w:rsidRPr="00454882">
        <w:t xml:space="preserve"> </w:t>
      </w:r>
      <w:r>
        <w:t>and</w:t>
      </w:r>
      <w:r w:rsidRPr="00454882">
        <w:t xml:space="preserve"> </w:t>
      </w:r>
      <w:r>
        <w:t>expansion</w:t>
      </w:r>
      <w:r w:rsidRPr="00454882">
        <w:t xml:space="preserve"> </w:t>
      </w:r>
      <w:r>
        <w:t>capability</w:t>
      </w:r>
      <w:r w:rsidRPr="00454882">
        <w:t xml:space="preserve"> </w:t>
      </w:r>
      <w:r>
        <w:t>of</w:t>
      </w:r>
      <w:r w:rsidRPr="00454882">
        <w:t xml:space="preserve"> </w:t>
      </w:r>
      <w:r>
        <w:t>the</w:t>
      </w:r>
      <w:r w:rsidRPr="00454882">
        <w:t xml:space="preserve"> </w:t>
      </w:r>
      <w:r>
        <w:t>proposed</w:t>
      </w:r>
      <w:r w:rsidRPr="00454882">
        <w:t xml:space="preserve"> </w:t>
      </w:r>
      <w:r>
        <w:t>design</w:t>
      </w:r>
    </w:p>
    <w:p w:rsidR="00454882" w:rsidRDefault="00454882" w:rsidP="00454882">
      <w:pPr>
        <w:pStyle w:val="ListBullet"/>
      </w:pPr>
      <w:r w:rsidRPr="00454882">
        <w:t xml:space="preserve">Environmentally Sustainable Development </w:t>
      </w:r>
      <w:r>
        <w:t>–</w:t>
      </w:r>
      <w:r w:rsidRPr="00454882">
        <w:t xml:space="preserve"> </w:t>
      </w:r>
      <w:r>
        <w:t>how</w:t>
      </w:r>
      <w:r w:rsidRPr="00454882">
        <w:t xml:space="preserve"> </w:t>
      </w:r>
      <w:r>
        <w:t>and</w:t>
      </w:r>
      <w:r w:rsidRPr="00454882">
        <w:t xml:space="preserve"> </w:t>
      </w:r>
      <w:r>
        <w:t>the</w:t>
      </w:r>
      <w:r w:rsidRPr="00454882">
        <w:t xml:space="preserve"> </w:t>
      </w:r>
      <w:r>
        <w:t>extent</w:t>
      </w:r>
      <w:r w:rsidRPr="00454882">
        <w:t xml:space="preserve"> </w:t>
      </w:r>
      <w:r>
        <w:t>to</w:t>
      </w:r>
      <w:r w:rsidRPr="00454882">
        <w:t xml:space="preserve"> </w:t>
      </w:r>
      <w:r>
        <w:t>which</w:t>
      </w:r>
      <w:r w:rsidRPr="00454882">
        <w:t xml:space="preserve"> </w:t>
      </w:r>
      <w:r>
        <w:t>the</w:t>
      </w:r>
      <w:r w:rsidRPr="00454882">
        <w:t xml:space="preserve"> </w:t>
      </w:r>
      <w:r>
        <w:t>Respondent</w:t>
      </w:r>
      <w:r w:rsidRPr="00454882">
        <w:t xml:space="preserve"> </w:t>
      </w:r>
      <w:r>
        <w:t>has</w:t>
      </w:r>
      <w:r w:rsidRPr="00454882">
        <w:t xml:space="preserve"> met </w:t>
      </w:r>
      <w:r>
        <w:t>the</w:t>
      </w:r>
      <w:r w:rsidRPr="00454882">
        <w:t xml:space="preserve"> </w:t>
      </w:r>
      <w:r>
        <w:t>ESD</w:t>
      </w:r>
      <w:r w:rsidRPr="00454882">
        <w:t xml:space="preserve"> </w:t>
      </w:r>
      <w:r>
        <w:t>requirements</w:t>
      </w:r>
    </w:p>
    <w:p w:rsidR="00454882" w:rsidRDefault="00454882" w:rsidP="00454882">
      <w:pPr>
        <w:pStyle w:val="ListBullet"/>
      </w:pPr>
      <w:r w:rsidRPr="00454882">
        <w:t xml:space="preserve">Commercial Opportunities </w:t>
      </w:r>
      <w:r>
        <w:t>–</w:t>
      </w:r>
      <w:r w:rsidRPr="00454882">
        <w:t xml:space="preserve"> </w:t>
      </w:r>
      <w:r>
        <w:t>the</w:t>
      </w:r>
      <w:r w:rsidRPr="00454882">
        <w:t xml:space="preserve"> </w:t>
      </w:r>
      <w:r>
        <w:t>design</w:t>
      </w:r>
      <w:r w:rsidRPr="00454882">
        <w:t xml:space="preserve"> </w:t>
      </w:r>
      <w:r>
        <w:t>aspects</w:t>
      </w:r>
      <w:r w:rsidRPr="00454882">
        <w:t xml:space="preserve"> </w:t>
      </w:r>
      <w:r>
        <w:t>proposed</w:t>
      </w:r>
      <w:r w:rsidRPr="00454882">
        <w:t xml:space="preserve"> </w:t>
      </w:r>
      <w:r>
        <w:t>for</w:t>
      </w:r>
      <w:r w:rsidRPr="00454882">
        <w:t xml:space="preserve"> </w:t>
      </w:r>
      <w:r>
        <w:t>any</w:t>
      </w:r>
      <w:r w:rsidRPr="00454882">
        <w:t xml:space="preserve"> </w:t>
      </w:r>
      <w:r>
        <w:t>Commercial</w:t>
      </w:r>
      <w:r w:rsidRPr="00454882">
        <w:t xml:space="preserve"> </w:t>
      </w:r>
      <w:r>
        <w:t>Opportunities</w:t>
      </w:r>
    </w:p>
    <w:p w:rsidR="00454882" w:rsidRPr="00454882" w:rsidRDefault="00454882" w:rsidP="00454882">
      <w:pPr>
        <w:pStyle w:val="ListBullet"/>
      </w:pPr>
      <w:r w:rsidRPr="00454882">
        <w:t xml:space="preserve">Design Departures </w:t>
      </w:r>
      <w:r>
        <w:t>–</w:t>
      </w:r>
      <w:r w:rsidRPr="00454882">
        <w:t xml:space="preserve"> </w:t>
      </w:r>
      <w:r>
        <w:t>the</w:t>
      </w:r>
      <w:r w:rsidRPr="00454882">
        <w:t xml:space="preserve"> </w:t>
      </w:r>
      <w:r w:rsidRPr="00DB28CA">
        <w:t>extent</w:t>
      </w:r>
      <w:r w:rsidRPr="00454882">
        <w:t xml:space="preserve"> </w:t>
      </w:r>
      <w:r>
        <w:t>to</w:t>
      </w:r>
      <w:r w:rsidRPr="00454882">
        <w:t xml:space="preserve"> </w:t>
      </w:r>
      <w:r w:rsidRPr="00DB28CA">
        <w:t>which</w:t>
      </w:r>
      <w:r w:rsidRPr="00454882">
        <w:t xml:space="preserve"> </w:t>
      </w:r>
      <w:r>
        <w:t>the</w:t>
      </w:r>
      <w:r w:rsidRPr="00454882">
        <w:t xml:space="preserve"> </w:t>
      </w:r>
      <w:r w:rsidRPr="00DB28CA">
        <w:t>Proposals</w:t>
      </w:r>
      <w:r w:rsidRPr="00454882">
        <w:t xml:space="preserve"> </w:t>
      </w:r>
      <w:r w:rsidRPr="00DB28CA">
        <w:t>depart</w:t>
      </w:r>
      <w:r w:rsidRPr="00454882">
        <w:t xml:space="preserve"> </w:t>
      </w:r>
      <w:r>
        <w:t>from</w:t>
      </w:r>
      <w:r w:rsidRPr="00454882">
        <w:t xml:space="preserve"> </w:t>
      </w:r>
      <w:r>
        <w:t>the</w:t>
      </w:r>
      <w:r w:rsidRPr="00454882">
        <w:t xml:space="preserve"> </w:t>
      </w:r>
      <w:r w:rsidRPr="00DB28CA">
        <w:t>requirements</w:t>
      </w:r>
      <w:r w:rsidRPr="00454882">
        <w:t xml:space="preserve"> </w:t>
      </w:r>
      <w:r w:rsidRPr="00DB28CA">
        <w:t>of</w:t>
      </w:r>
      <w:r w:rsidRPr="00454882">
        <w:t xml:space="preserve"> </w:t>
      </w:r>
      <w:r>
        <w:t>the</w:t>
      </w:r>
      <w:r w:rsidRPr="00454882">
        <w:t xml:space="preserve"> </w:t>
      </w:r>
      <w:r>
        <w:t>Output</w:t>
      </w:r>
      <w:r w:rsidRPr="00454882">
        <w:t xml:space="preserve"> </w:t>
      </w:r>
      <w:r w:rsidRPr="00DB28CA">
        <w:t>Specification.</w:t>
      </w:r>
    </w:p>
    <w:p w:rsidR="00454882" w:rsidRPr="00454882" w:rsidRDefault="00454882" w:rsidP="00454882">
      <w:pPr>
        <w:pStyle w:val="Heading4"/>
      </w:pPr>
      <w:r w:rsidRPr="00DB28CA">
        <w:t>Criterion</w:t>
      </w:r>
      <w:r w:rsidRPr="00454882">
        <w:t xml:space="preserve"> G - Equipment</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process</w:t>
      </w:r>
      <w:r w:rsidRPr="00454882">
        <w:t xml:space="preserve"> </w:t>
      </w:r>
      <w:r>
        <w:t>for</w:t>
      </w:r>
      <w:r w:rsidRPr="00454882">
        <w:t xml:space="preserve"> </w:t>
      </w:r>
      <w:r>
        <w:t>Equipment</w:t>
      </w:r>
      <w:r w:rsidRPr="00454882">
        <w:t xml:space="preserve"> </w:t>
      </w:r>
      <w:r>
        <w:t>selection</w:t>
      </w:r>
      <w:r w:rsidRPr="00454882">
        <w:t xml:space="preserve"> </w:t>
      </w:r>
      <w:r>
        <w:t>and</w:t>
      </w:r>
      <w:r w:rsidRPr="00454882">
        <w:t xml:space="preserve"> </w:t>
      </w:r>
      <w:r>
        <w:t>the</w:t>
      </w:r>
      <w:r w:rsidRPr="00454882">
        <w:t xml:space="preserve"> </w:t>
      </w:r>
      <w:r>
        <w:t>appropriateness</w:t>
      </w:r>
      <w:r w:rsidRPr="00454882">
        <w:t xml:space="preserve"> </w:t>
      </w:r>
      <w:r>
        <w:t>and</w:t>
      </w:r>
      <w:r w:rsidRPr="00454882">
        <w:t xml:space="preserve"> </w:t>
      </w:r>
      <w:r>
        <w:t>quality</w:t>
      </w:r>
      <w:r w:rsidRPr="00454882">
        <w:t xml:space="preserve"> </w:t>
      </w:r>
      <w:r>
        <w:t>of</w:t>
      </w:r>
      <w:r w:rsidRPr="00454882">
        <w:t xml:space="preserve"> </w:t>
      </w:r>
      <w:r>
        <w:t>the</w:t>
      </w:r>
      <w:r w:rsidRPr="00454882">
        <w:t xml:space="preserve"> </w:t>
      </w:r>
      <w:r>
        <w:t>selected</w:t>
      </w:r>
      <w:r w:rsidRPr="00454882">
        <w:t xml:space="preserve"> </w:t>
      </w:r>
      <w:r>
        <w:t>furniture,</w:t>
      </w:r>
      <w:r w:rsidRPr="00454882">
        <w:t xml:space="preserve"> </w:t>
      </w:r>
      <w:r>
        <w:t>fixtures,</w:t>
      </w:r>
      <w:r w:rsidRPr="00454882">
        <w:t xml:space="preserve"> </w:t>
      </w:r>
      <w:r>
        <w:t>fittings</w:t>
      </w:r>
      <w:r w:rsidRPr="00454882">
        <w:t xml:space="preserve"> </w:t>
      </w:r>
      <w:r>
        <w:t>and</w:t>
      </w:r>
      <w:r w:rsidRPr="00454882">
        <w:t xml:space="preserve"> </w:t>
      </w:r>
      <w:r>
        <w:t>other</w:t>
      </w:r>
      <w:r w:rsidRPr="00454882">
        <w:t xml:space="preserve"> </w:t>
      </w:r>
      <w:r>
        <w:t>Equipment.</w:t>
      </w:r>
    </w:p>
    <w:p w:rsidR="00454882" w:rsidRPr="00454882" w:rsidRDefault="00454882" w:rsidP="00454882">
      <w:pPr>
        <w:pStyle w:val="Heading4"/>
      </w:pPr>
      <w:r>
        <w:t>Criterion</w:t>
      </w:r>
      <w:r w:rsidRPr="00454882">
        <w:t xml:space="preserve"> H - Project Management</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Default="00454882" w:rsidP="00454882">
      <w:pPr>
        <w:pStyle w:val="ListBullet"/>
      </w:pPr>
      <w:r w:rsidRPr="00454882">
        <w:t xml:space="preserve">Project Co management </w:t>
      </w:r>
      <w:r>
        <w:t>–</w:t>
      </w:r>
      <w:r w:rsidRPr="00454882">
        <w:t xml:space="preserve"> </w:t>
      </w:r>
      <w:r>
        <w:t>the</w:t>
      </w:r>
      <w:r w:rsidRPr="00454882">
        <w:t xml:space="preserve"> </w:t>
      </w:r>
      <w:r>
        <w:t>resourcing,</w:t>
      </w:r>
      <w:r w:rsidRPr="00454882">
        <w:t xml:space="preserve"> </w:t>
      </w:r>
      <w:r>
        <w:t>staffing</w:t>
      </w:r>
      <w:r w:rsidRPr="00454882">
        <w:t xml:space="preserve"> </w:t>
      </w:r>
      <w:r>
        <w:t>structure,</w:t>
      </w:r>
      <w:r w:rsidRPr="00454882">
        <w:t xml:space="preserve"> </w:t>
      </w:r>
      <w:r>
        <w:t>experience</w:t>
      </w:r>
      <w:r w:rsidRPr="00454882">
        <w:t xml:space="preserve"> </w:t>
      </w:r>
      <w:r>
        <w:t>and</w:t>
      </w:r>
      <w:r w:rsidRPr="00454882">
        <w:t xml:space="preserve"> </w:t>
      </w:r>
      <w:r>
        <w:t>approach</w:t>
      </w:r>
      <w:r w:rsidRPr="00454882">
        <w:t xml:space="preserve"> </w:t>
      </w:r>
      <w:r>
        <w:t>of</w:t>
      </w:r>
      <w:r w:rsidRPr="00454882">
        <w:t xml:space="preserve"> </w:t>
      </w:r>
      <w:r>
        <w:t>Project</w:t>
      </w:r>
      <w:r w:rsidRPr="00454882">
        <w:t xml:space="preserve"> </w:t>
      </w:r>
      <w:r>
        <w:t>Co</w:t>
      </w:r>
    </w:p>
    <w:p w:rsidR="00454882" w:rsidRDefault="00454882" w:rsidP="00454882">
      <w:pPr>
        <w:pStyle w:val="ListBullet"/>
      </w:pPr>
      <w:r w:rsidRPr="00454882">
        <w:t xml:space="preserve">Design Development Process </w:t>
      </w:r>
      <w:r>
        <w:t>–</w:t>
      </w:r>
      <w:r w:rsidRPr="00454882">
        <w:t xml:space="preserve"> </w:t>
      </w:r>
      <w:r>
        <w:t>the</w:t>
      </w:r>
      <w:r w:rsidRPr="00454882">
        <w:t xml:space="preserve"> </w:t>
      </w:r>
      <w:r>
        <w:t>Respondent’s</w:t>
      </w:r>
      <w:r w:rsidRPr="00454882">
        <w:t xml:space="preserve"> </w:t>
      </w:r>
      <w:r>
        <w:t>approach</w:t>
      </w:r>
      <w:r w:rsidRPr="00454882">
        <w:t xml:space="preserve"> </w:t>
      </w:r>
      <w:r>
        <w:t>to</w:t>
      </w:r>
      <w:r w:rsidRPr="00454882">
        <w:t xml:space="preserve"> </w:t>
      </w:r>
      <w:r>
        <w:t>the</w:t>
      </w:r>
      <w:r w:rsidRPr="00454882">
        <w:t xml:space="preserve"> </w:t>
      </w:r>
      <w:r>
        <w:t>Design</w:t>
      </w:r>
      <w:r w:rsidRPr="00454882">
        <w:t xml:space="preserve"> </w:t>
      </w:r>
      <w:r>
        <w:t>Development</w:t>
      </w:r>
      <w:r w:rsidRPr="00454882">
        <w:t xml:space="preserve"> </w:t>
      </w:r>
      <w:r>
        <w:t>Process,</w:t>
      </w:r>
      <w:r w:rsidRPr="00454882">
        <w:t xml:space="preserve"> </w:t>
      </w:r>
      <w:r>
        <w:t>including</w:t>
      </w:r>
      <w:r w:rsidRPr="00454882">
        <w:t xml:space="preserve"> </w:t>
      </w:r>
      <w:r>
        <w:t>the</w:t>
      </w:r>
      <w:r w:rsidRPr="00454882">
        <w:t xml:space="preserve"> </w:t>
      </w:r>
      <w:r>
        <w:t>coordination</w:t>
      </w:r>
      <w:r w:rsidRPr="00454882">
        <w:t xml:space="preserve"> </w:t>
      </w:r>
      <w:r>
        <w:t>and</w:t>
      </w:r>
      <w:r w:rsidRPr="00454882">
        <w:t xml:space="preserve"> </w:t>
      </w:r>
      <w:r>
        <w:t>management</w:t>
      </w:r>
      <w:r w:rsidRPr="00454882">
        <w:t xml:space="preserve"> </w:t>
      </w:r>
      <w:r>
        <w:t>of</w:t>
      </w:r>
      <w:r w:rsidRPr="00454882">
        <w:t xml:space="preserve"> </w:t>
      </w:r>
      <w:r>
        <w:t>user</w:t>
      </w:r>
      <w:r w:rsidRPr="00454882">
        <w:t xml:space="preserve"> </w:t>
      </w:r>
      <w:r>
        <w:t>groups</w:t>
      </w:r>
      <w:r w:rsidRPr="00454882">
        <w:t xml:space="preserve"> </w:t>
      </w:r>
      <w:r>
        <w:t>and</w:t>
      </w:r>
      <w:r w:rsidRPr="00454882">
        <w:t xml:space="preserve"> </w:t>
      </w:r>
      <w:r>
        <w:t>the</w:t>
      </w:r>
      <w:r w:rsidRPr="00454882">
        <w:t xml:space="preserve"> </w:t>
      </w:r>
      <w:r>
        <w:t>design</w:t>
      </w:r>
      <w:r w:rsidRPr="00454882">
        <w:t xml:space="preserve"> team</w:t>
      </w:r>
    </w:p>
    <w:p w:rsidR="00454882" w:rsidRDefault="00454882" w:rsidP="00454882">
      <w:pPr>
        <w:pStyle w:val="ListBullet"/>
      </w:pPr>
      <w:r w:rsidRPr="00454882">
        <w:t xml:space="preserve">Master Works Program </w:t>
      </w:r>
      <w:r>
        <w:t>–</w:t>
      </w:r>
      <w:r w:rsidRPr="00454882">
        <w:t xml:space="preserve"> </w:t>
      </w:r>
      <w:r>
        <w:t>the</w:t>
      </w:r>
      <w:r w:rsidRPr="00454882">
        <w:t xml:space="preserve"> </w:t>
      </w:r>
      <w:r>
        <w:t>Respondent’s</w:t>
      </w:r>
      <w:r w:rsidRPr="00454882">
        <w:t xml:space="preserve"> </w:t>
      </w:r>
      <w:r>
        <w:t>proposed</w:t>
      </w:r>
      <w:r w:rsidRPr="00454882">
        <w:t xml:space="preserve"> </w:t>
      </w:r>
      <w:r>
        <w:t>timelines</w:t>
      </w:r>
      <w:r w:rsidRPr="00454882">
        <w:t xml:space="preserve"> </w:t>
      </w:r>
      <w:r>
        <w:t>and</w:t>
      </w:r>
      <w:r w:rsidRPr="00454882">
        <w:t xml:space="preserve"> </w:t>
      </w:r>
      <w:r>
        <w:t>program</w:t>
      </w:r>
    </w:p>
    <w:p w:rsidR="00454882" w:rsidRDefault="00454882" w:rsidP="00454882">
      <w:pPr>
        <w:pStyle w:val="ListBullet"/>
      </w:pPr>
      <w:r w:rsidRPr="00454882">
        <w:t xml:space="preserve">Impact on Business Continuity </w:t>
      </w:r>
      <w:r>
        <w:t>–</w:t>
      </w:r>
      <w:r w:rsidRPr="00454882">
        <w:t xml:space="preserve"> </w:t>
      </w:r>
      <w:r>
        <w:t>the</w:t>
      </w:r>
      <w:r w:rsidRPr="00454882">
        <w:t xml:space="preserve"> </w:t>
      </w:r>
      <w:r>
        <w:t>proposed</w:t>
      </w:r>
      <w:r w:rsidRPr="00454882">
        <w:t xml:space="preserve"> </w:t>
      </w:r>
      <w:r>
        <w:t>methodologies</w:t>
      </w:r>
      <w:r w:rsidRPr="00454882">
        <w:t xml:space="preserve"> </w:t>
      </w:r>
      <w:r>
        <w:t>and</w:t>
      </w:r>
      <w:r w:rsidRPr="00454882">
        <w:t xml:space="preserve"> </w:t>
      </w:r>
      <w:r>
        <w:t>approaches</w:t>
      </w:r>
      <w:r w:rsidRPr="00454882">
        <w:t xml:space="preserve"> </w:t>
      </w:r>
      <w:r>
        <w:t>to</w:t>
      </w:r>
      <w:r w:rsidRPr="00454882">
        <w:t xml:space="preserve"> </w:t>
      </w:r>
      <w:r>
        <w:t>complying</w:t>
      </w:r>
      <w:r w:rsidRPr="00454882">
        <w:t xml:space="preserve"> </w:t>
      </w:r>
      <w:r>
        <w:t>with</w:t>
      </w:r>
      <w:r w:rsidRPr="00454882">
        <w:t xml:space="preserve"> </w:t>
      </w:r>
      <w:r>
        <w:t>the</w:t>
      </w:r>
      <w:r w:rsidRPr="00454882">
        <w:t xml:space="preserve"> </w:t>
      </w:r>
      <w:r>
        <w:t>business</w:t>
      </w:r>
      <w:r w:rsidRPr="00454882">
        <w:t xml:space="preserve"> </w:t>
      </w:r>
      <w:r>
        <w:t>interruption</w:t>
      </w:r>
      <w:r w:rsidRPr="00454882">
        <w:t xml:space="preserve"> </w:t>
      </w:r>
      <w:r>
        <w:t>requirements</w:t>
      </w:r>
      <w:r w:rsidRPr="00454882">
        <w:t xml:space="preserve"> </w:t>
      </w:r>
      <w:r>
        <w:t>and</w:t>
      </w:r>
      <w:r w:rsidRPr="00454882">
        <w:t xml:space="preserve"> </w:t>
      </w:r>
      <w:r>
        <w:t>minimising</w:t>
      </w:r>
      <w:r w:rsidRPr="00454882">
        <w:t xml:space="preserve"> </w:t>
      </w:r>
      <w:r>
        <w:t>any</w:t>
      </w:r>
      <w:r w:rsidRPr="00454882">
        <w:t xml:space="preserve"> </w:t>
      </w:r>
      <w:r>
        <w:t>impact</w:t>
      </w:r>
      <w:r w:rsidRPr="00454882">
        <w:t xml:space="preserve"> </w:t>
      </w:r>
      <w:r>
        <w:t>on</w:t>
      </w:r>
      <w:r w:rsidRPr="00454882">
        <w:t xml:space="preserve"> </w:t>
      </w:r>
      <w:r>
        <w:t>the</w:t>
      </w:r>
      <w:r w:rsidRPr="00454882">
        <w:t xml:space="preserve"> </w:t>
      </w:r>
      <w:r>
        <w:t>ongoing</w:t>
      </w:r>
      <w:r w:rsidRPr="00454882">
        <w:t xml:space="preserve"> </w:t>
      </w:r>
      <w:r>
        <w:t>operation</w:t>
      </w:r>
      <w:r w:rsidRPr="00454882">
        <w:t xml:space="preserve"> </w:t>
      </w:r>
      <w:r>
        <w:t>of</w:t>
      </w:r>
      <w:r w:rsidRPr="00454882">
        <w:t xml:space="preserve"> </w:t>
      </w:r>
      <w:r>
        <w:t>the</w:t>
      </w:r>
      <w:r w:rsidRPr="00454882">
        <w:t xml:space="preserve"> </w:t>
      </w:r>
      <w:r w:rsidR="00C97FE6">
        <w:t>e</w:t>
      </w:r>
      <w:r>
        <w:t>xisting</w:t>
      </w:r>
      <w:r w:rsidRPr="00454882">
        <w:t xml:space="preserve"> </w:t>
      </w:r>
      <w:r w:rsidR="00C97FE6">
        <w:t>Supreme Court and Magistrates’ Court</w:t>
      </w:r>
      <w:r>
        <w:t>.</w:t>
      </w:r>
    </w:p>
    <w:p w:rsidR="00454882" w:rsidRPr="00740F0F" w:rsidRDefault="00454882" w:rsidP="00454882">
      <w:pPr>
        <w:pStyle w:val="ListBullet"/>
      </w:pPr>
      <w:r w:rsidRPr="00454882">
        <w:t>Construction Management</w:t>
      </w:r>
      <w:r>
        <w:t xml:space="preserve"> - the</w:t>
      </w:r>
      <w:r w:rsidRPr="00454882">
        <w:t xml:space="preserve"> </w:t>
      </w:r>
      <w:r>
        <w:t>proposed</w:t>
      </w:r>
      <w:r w:rsidRPr="00454882">
        <w:t xml:space="preserve"> </w:t>
      </w:r>
      <w:r>
        <w:t>methodologies</w:t>
      </w:r>
      <w:r w:rsidRPr="00454882">
        <w:t xml:space="preserve"> </w:t>
      </w:r>
      <w:r>
        <w:t>and</w:t>
      </w:r>
      <w:r w:rsidRPr="00454882">
        <w:t xml:space="preserve"> </w:t>
      </w:r>
      <w:r>
        <w:t>approaches</w:t>
      </w:r>
      <w:r w:rsidRPr="00454882">
        <w:t xml:space="preserve"> </w:t>
      </w:r>
      <w:r>
        <w:t>to</w:t>
      </w:r>
      <w:r w:rsidRPr="00454882">
        <w:t xml:space="preserve"> </w:t>
      </w:r>
      <w:r>
        <w:t>delivering the New Facility and Reconditioned Areas.</w:t>
      </w:r>
    </w:p>
    <w:p w:rsidR="00454882" w:rsidRDefault="00454882" w:rsidP="00454882">
      <w:pPr>
        <w:pStyle w:val="ListBullet"/>
      </w:pPr>
      <w:r w:rsidRPr="00454882">
        <w:t xml:space="preserve">Completion </w:t>
      </w:r>
      <w:r>
        <w:t>-</w:t>
      </w:r>
      <w:r w:rsidRPr="00454882">
        <w:t xml:space="preserve"> </w:t>
      </w:r>
      <w:r>
        <w:t>the</w:t>
      </w:r>
      <w:r w:rsidRPr="00454882">
        <w:t xml:space="preserve"> </w:t>
      </w:r>
      <w:r>
        <w:t>appropriateness</w:t>
      </w:r>
      <w:r w:rsidRPr="00454882">
        <w:t xml:space="preserve"> </w:t>
      </w:r>
      <w:r>
        <w:t>of</w:t>
      </w:r>
      <w:r w:rsidRPr="00454882">
        <w:t xml:space="preserve"> </w:t>
      </w:r>
      <w:r>
        <w:t>the</w:t>
      </w:r>
      <w:r w:rsidRPr="00454882">
        <w:t xml:space="preserve"> </w:t>
      </w:r>
      <w:r>
        <w:t>Respondent’s</w:t>
      </w:r>
      <w:r w:rsidRPr="00454882">
        <w:t xml:space="preserve"> </w:t>
      </w:r>
      <w:r>
        <w:t>proposed</w:t>
      </w:r>
      <w:r w:rsidRPr="00454882">
        <w:t xml:space="preserve"> </w:t>
      </w:r>
      <w:r>
        <w:t>Completion</w:t>
      </w:r>
      <w:r w:rsidRPr="00454882">
        <w:t xml:space="preserve"> </w:t>
      </w:r>
      <w:r>
        <w:t>methodology.</w:t>
      </w:r>
    </w:p>
    <w:p w:rsidR="00454882" w:rsidRDefault="00454882" w:rsidP="00454882">
      <w:pPr>
        <w:pStyle w:val="ListBullet"/>
      </w:pPr>
      <w:r w:rsidRPr="00454882">
        <w:t xml:space="preserve">Work Health and Safety </w:t>
      </w:r>
      <w:r>
        <w:t>–</w:t>
      </w:r>
      <w:r w:rsidRPr="00454882">
        <w:t xml:space="preserve"> </w:t>
      </w:r>
      <w:r>
        <w:t>the</w:t>
      </w:r>
      <w:r w:rsidRPr="00454882">
        <w:t xml:space="preserve"> </w:t>
      </w:r>
      <w:r>
        <w:t>Respondent’s</w:t>
      </w:r>
      <w:r w:rsidRPr="00454882">
        <w:t xml:space="preserve"> </w:t>
      </w:r>
      <w:r>
        <w:t>approach</w:t>
      </w:r>
      <w:r w:rsidRPr="00454882">
        <w:t xml:space="preserve"> </w:t>
      </w:r>
      <w:r>
        <w:t>to</w:t>
      </w:r>
      <w:r w:rsidRPr="00454882">
        <w:t xml:space="preserve"> complying with the Territory’s policies and </w:t>
      </w:r>
      <w:r>
        <w:t>achieving</w:t>
      </w:r>
      <w:r w:rsidRPr="00454882">
        <w:t xml:space="preserve"> </w:t>
      </w:r>
      <w:r>
        <w:t>high standards of workplace</w:t>
      </w:r>
      <w:r w:rsidRPr="00454882">
        <w:t xml:space="preserve"> </w:t>
      </w:r>
      <w:r>
        <w:t>safety.</w:t>
      </w:r>
    </w:p>
    <w:p w:rsidR="00454882" w:rsidRPr="00454882" w:rsidRDefault="00454882" w:rsidP="00454882">
      <w:pPr>
        <w:pStyle w:val="Heading4"/>
      </w:pPr>
      <w:r>
        <w:t>Criterion</w:t>
      </w:r>
      <w:r w:rsidRPr="00454882">
        <w:t xml:space="preserve"> I - Services</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following</w:t>
      </w:r>
      <w:r w:rsidRPr="00454882">
        <w:t xml:space="preserve"> </w:t>
      </w:r>
      <w:r>
        <w:t>criteria:</w:t>
      </w:r>
    </w:p>
    <w:p w:rsidR="00454882" w:rsidRDefault="00454882" w:rsidP="00454882">
      <w:pPr>
        <w:pStyle w:val="ListBullet"/>
      </w:pPr>
      <w:r w:rsidRPr="00454882">
        <w:t xml:space="preserve">Operational Readiness and Ramp up </w:t>
      </w:r>
      <w:r>
        <w:t>-</w:t>
      </w:r>
      <w:r w:rsidRPr="00454882">
        <w:t xml:space="preserve"> </w:t>
      </w:r>
      <w:r>
        <w:t>the</w:t>
      </w:r>
      <w:r w:rsidRPr="00454882">
        <w:t xml:space="preserve"> </w:t>
      </w:r>
      <w:r>
        <w:t>robustness</w:t>
      </w:r>
      <w:r w:rsidRPr="00454882">
        <w:t xml:space="preserve"> </w:t>
      </w:r>
      <w:r>
        <w:t>of</w:t>
      </w:r>
      <w:r w:rsidRPr="00454882">
        <w:t xml:space="preserve"> </w:t>
      </w:r>
      <w:r>
        <w:t>the</w:t>
      </w:r>
      <w:r w:rsidRPr="00454882">
        <w:t xml:space="preserve"> </w:t>
      </w:r>
      <w:r>
        <w:t>Respondent’s</w:t>
      </w:r>
      <w:r w:rsidRPr="00454882">
        <w:t xml:space="preserve"> </w:t>
      </w:r>
      <w:r>
        <w:t>proposed</w:t>
      </w:r>
      <w:r w:rsidRPr="00454882">
        <w:t xml:space="preserve"> </w:t>
      </w:r>
      <w:r>
        <w:t>mobilisation</w:t>
      </w:r>
      <w:r w:rsidRPr="00454882">
        <w:t xml:space="preserve"> </w:t>
      </w:r>
      <w:r>
        <w:t>plan</w:t>
      </w:r>
      <w:r w:rsidRPr="00454882">
        <w:t xml:space="preserve"> </w:t>
      </w:r>
      <w:r>
        <w:t>for</w:t>
      </w:r>
      <w:r w:rsidRPr="00454882">
        <w:t xml:space="preserve"> </w:t>
      </w:r>
      <w:r>
        <w:t>the</w:t>
      </w:r>
      <w:r w:rsidRPr="00454882">
        <w:t xml:space="preserve"> </w:t>
      </w:r>
      <w:r>
        <w:t>implementation</w:t>
      </w:r>
      <w:r w:rsidRPr="00454882">
        <w:t xml:space="preserve"> </w:t>
      </w:r>
      <w:r>
        <w:t>for</w:t>
      </w:r>
      <w:r w:rsidRPr="00454882">
        <w:t xml:space="preserve"> </w:t>
      </w:r>
      <w:r>
        <w:t>the</w:t>
      </w:r>
      <w:r w:rsidRPr="00454882">
        <w:t xml:space="preserve"> </w:t>
      </w:r>
      <w:r>
        <w:t>Services</w:t>
      </w:r>
    </w:p>
    <w:p w:rsidR="00454882" w:rsidRDefault="00454882" w:rsidP="00454882">
      <w:pPr>
        <w:pStyle w:val="ListBullet"/>
      </w:pPr>
      <w:r w:rsidRPr="00454882">
        <w:t xml:space="preserve">General Service Management </w:t>
      </w:r>
      <w:r>
        <w:t>–</w:t>
      </w:r>
      <w:r w:rsidRPr="00454882">
        <w:t xml:space="preserve"> </w:t>
      </w:r>
      <w:r>
        <w:t>the</w:t>
      </w:r>
      <w:r w:rsidRPr="00454882">
        <w:t xml:space="preserve"> </w:t>
      </w:r>
      <w:r>
        <w:t>proposed</w:t>
      </w:r>
      <w:r w:rsidRPr="00454882">
        <w:t xml:space="preserve"> </w:t>
      </w:r>
      <w:r>
        <w:t>performance</w:t>
      </w:r>
      <w:r w:rsidRPr="00454882">
        <w:t xml:space="preserve"> </w:t>
      </w:r>
      <w:r>
        <w:t>monitoring</w:t>
      </w:r>
      <w:r w:rsidRPr="00454882">
        <w:t xml:space="preserve"> </w:t>
      </w:r>
      <w:r>
        <w:t>program,</w:t>
      </w:r>
      <w:r w:rsidRPr="00454882">
        <w:t xml:space="preserve"> </w:t>
      </w:r>
      <w:r>
        <w:t>reporting</w:t>
      </w:r>
      <w:r w:rsidRPr="00454882">
        <w:t xml:space="preserve"> </w:t>
      </w:r>
      <w:r>
        <w:t>and</w:t>
      </w:r>
      <w:r w:rsidRPr="00454882">
        <w:t xml:space="preserve"> </w:t>
      </w:r>
      <w:r>
        <w:t>management</w:t>
      </w:r>
      <w:r w:rsidRPr="00454882">
        <w:t xml:space="preserve"> </w:t>
      </w:r>
      <w:r>
        <w:t>structure</w:t>
      </w:r>
      <w:r w:rsidRPr="00454882">
        <w:t xml:space="preserve"> </w:t>
      </w:r>
      <w:r>
        <w:t>proposed</w:t>
      </w:r>
      <w:r w:rsidRPr="00454882">
        <w:t xml:space="preserve"> </w:t>
      </w:r>
      <w:r>
        <w:t>to</w:t>
      </w:r>
      <w:r w:rsidRPr="00454882">
        <w:t xml:space="preserve"> </w:t>
      </w:r>
      <w:r>
        <w:t>manage</w:t>
      </w:r>
      <w:r w:rsidRPr="00454882">
        <w:t xml:space="preserve"> </w:t>
      </w:r>
      <w:r>
        <w:t>the</w:t>
      </w:r>
      <w:r w:rsidRPr="00454882">
        <w:t xml:space="preserve"> </w:t>
      </w:r>
      <w:r>
        <w:t>delivery</w:t>
      </w:r>
      <w:r w:rsidRPr="00454882">
        <w:t xml:space="preserve"> </w:t>
      </w:r>
      <w:r>
        <w:t>of</w:t>
      </w:r>
      <w:r w:rsidRPr="00454882">
        <w:t xml:space="preserve"> </w:t>
      </w:r>
      <w:r>
        <w:t>the</w:t>
      </w:r>
      <w:r w:rsidRPr="00454882">
        <w:t xml:space="preserve"> </w:t>
      </w:r>
      <w:r>
        <w:t>required</w:t>
      </w:r>
      <w:r w:rsidRPr="00454882">
        <w:t xml:space="preserve"> </w:t>
      </w:r>
      <w:r>
        <w:t>Services.</w:t>
      </w:r>
    </w:p>
    <w:p w:rsidR="00454882" w:rsidRDefault="00454882" w:rsidP="00454882">
      <w:pPr>
        <w:pStyle w:val="ListBullet"/>
      </w:pPr>
      <w:r w:rsidRPr="00454882">
        <w:t xml:space="preserve">General Services </w:t>
      </w:r>
      <w:r>
        <w:t>-</w:t>
      </w:r>
      <w:r w:rsidRPr="00454882">
        <w:t xml:space="preserve"> </w:t>
      </w:r>
      <w:r>
        <w:t>the</w:t>
      </w:r>
      <w:r w:rsidRPr="00454882">
        <w:t xml:space="preserve"> </w:t>
      </w:r>
      <w:r>
        <w:t>Respondent’s</w:t>
      </w:r>
      <w:r w:rsidRPr="00454882">
        <w:t xml:space="preserve"> </w:t>
      </w:r>
      <w:r>
        <w:t>understanding</w:t>
      </w:r>
      <w:r w:rsidRPr="00454882">
        <w:t xml:space="preserve"> </w:t>
      </w:r>
      <w:r>
        <w:t>of</w:t>
      </w:r>
      <w:r w:rsidRPr="00454882">
        <w:t xml:space="preserve"> </w:t>
      </w:r>
      <w:r>
        <w:t>the</w:t>
      </w:r>
      <w:r w:rsidRPr="00454882">
        <w:t xml:space="preserve"> </w:t>
      </w:r>
      <w:r>
        <w:t>Territory’s</w:t>
      </w:r>
      <w:r w:rsidRPr="00454882">
        <w:t xml:space="preserve"> </w:t>
      </w:r>
      <w:r>
        <w:t>requirements</w:t>
      </w:r>
      <w:r w:rsidRPr="00454882">
        <w:t xml:space="preserve"> </w:t>
      </w:r>
      <w:r>
        <w:t>for</w:t>
      </w:r>
      <w:r w:rsidRPr="00454882">
        <w:t xml:space="preserve"> </w:t>
      </w:r>
      <w:r>
        <w:t>specific</w:t>
      </w:r>
      <w:r w:rsidRPr="00454882">
        <w:t xml:space="preserve"> </w:t>
      </w:r>
      <w:r>
        <w:t>sections</w:t>
      </w:r>
      <w:r w:rsidRPr="00454882">
        <w:t xml:space="preserve"> </w:t>
      </w:r>
      <w:r>
        <w:t>of</w:t>
      </w:r>
      <w:r w:rsidRPr="00454882">
        <w:t xml:space="preserve"> </w:t>
      </w:r>
      <w:r>
        <w:t>the</w:t>
      </w:r>
      <w:r w:rsidRPr="00454882">
        <w:t xml:space="preserve"> </w:t>
      </w:r>
      <w:r>
        <w:t>General</w:t>
      </w:r>
      <w:r w:rsidRPr="00454882">
        <w:t xml:space="preserve"> </w:t>
      </w:r>
      <w:r>
        <w:t>Services</w:t>
      </w:r>
      <w:r w:rsidRPr="00454882">
        <w:t xml:space="preserve"> </w:t>
      </w:r>
      <w:r>
        <w:t>Specification</w:t>
      </w:r>
      <w:r w:rsidRPr="00454882">
        <w:t xml:space="preserve"> </w:t>
      </w:r>
      <w:r>
        <w:t>and</w:t>
      </w:r>
      <w:r w:rsidRPr="00454882">
        <w:t xml:space="preserve"> </w:t>
      </w:r>
      <w:r>
        <w:t>the</w:t>
      </w:r>
      <w:r w:rsidRPr="00454882">
        <w:t xml:space="preserve"> </w:t>
      </w:r>
      <w:r>
        <w:t>appropriateness</w:t>
      </w:r>
      <w:r w:rsidRPr="00454882">
        <w:t xml:space="preserve"> </w:t>
      </w:r>
      <w:r>
        <w:t>of</w:t>
      </w:r>
      <w:r w:rsidRPr="00454882">
        <w:t xml:space="preserve"> </w:t>
      </w:r>
      <w:r>
        <w:t>the</w:t>
      </w:r>
      <w:r w:rsidRPr="00454882">
        <w:t xml:space="preserve"> </w:t>
      </w:r>
      <w:r>
        <w:t>Respondent’s</w:t>
      </w:r>
      <w:r w:rsidRPr="00454882">
        <w:t xml:space="preserve"> </w:t>
      </w:r>
      <w:r>
        <w:t>proposed</w:t>
      </w:r>
      <w:r w:rsidRPr="00454882">
        <w:t xml:space="preserve"> </w:t>
      </w:r>
      <w:r>
        <w:t>systems,</w:t>
      </w:r>
      <w:r w:rsidRPr="00454882">
        <w:t xml:space="preserve"> </w:t>
      </w:r>
      <w:r>
        <w:t>process</w:t>
      </w:r>
      <w:r w:rsidRPr="00454882">
        <w:t xml:space="preserve"> </w:t>
      </w:r>
      <w:r>
        <w:t>and</w:t>
      </w:r>
      <w:r w:rsidRPr="00454882">
        <w:t xml:space="preserve"> </w:t>
      </w:r>
      <w:r>
        <w:t>resources</w:t>
      </w:r>
      <w:r w:rsidRPr="00454882">
        <w:t xml:space="preserve"> </w:t>
      </w:r>
      <w:r>
        <w:t>to</w:t>
      </w:r>
      <w:r w:rsidRPr="00454882">
        <w:t xml:space="preserve"> </w:t>
      </w:r>
      <w:r>
        <w:t>comply</w:t>
      </w:r>
      <w:r w:rsidRPr="00454882">
        <w:t xml:space="preserve"> </w:t>
      </w:r>
      <w:r>
        <w:t>with</w:t>
      </w:r>
      <w:r w:rsidRPr="00454882">
        <w:t xml:space="preserve"> </w:t>
      </w:r>
      <w:r>
        <w:t>the</w:t>
      </w:r>
      <w:r w:rsidRPr="00454882">
        <w:t xml:space="preserve"> </w:t>
      </w:r>
      <w:r>
        <w:t>General</w:t>
      </w:r>
      <w:r w:rsidRPr="00454882">
        <w:t xml:space="preserve"> </w:t>
      </w:r>
      <w:r>
        <w:t>Service</w:t>
      </w:r>
      <w:r w:rsidRPr="00454882">
        <w:t xml:space="preserve"> </w:t>
      </w:r>
      <w:r>
        <w:t>Requirements.</w:t>
      </w:r>
    </w:p>
    <w:p w:rsidR="00454882" w:rsidRDefault="00454882" w:rsidP="00454882">
      <w:pPr>
        <w:pStyle w:val="ListBullet"/>
      </w:pPr>
      <w:r w:rsidRPr="00454882">
        <w:t xml:space="preserve">Service-Specific Solutions </w:t>
      </w:r>
      <w:r>
        <w:t>-</w:t>
      </w:r>
      <w:r w:rsidRPr="00454882">
        <w:t xml:space="preserve"> </w:t>
      </w:r>
      <w:r>
        <w:t>the</w:t>
      </w:r>
      <w:r w:rsidRPr="00454882">
        <w:t xml:space="preserve"> </w:t>
      </w:r>
      <w:r>
        <w:t>service-specific</w:t>
      </w:r>
      <w:r w:rsidRPr="00454882">
        <w:t xml:space="preserve"> </w:t>
      </w:r>
      <w:r>
        <w:t>solutions</w:t>
      </w:r>
      <w:r w:rsidRPr="00454882">
        <w:t xml:space="preserve"> </w:t>
      </w:r>
      <w:r>
        <w:t>including</w:t>
      </w:r>
      <w:r w:rsidRPr="00454882">
        <w:t xml:space="preserve"> </w:t>
      </w:r>
      <w:r>
        <w:t>proposed</w:t>
      </w:r>
      <w:r w:rsidRPr="00454882">
        <w:t xml:space="preserve"> </w:t>
      </w:r>
      <w:r>
        <w:t>system,</w:t>
      </w:r>
      <w:r w:rsidRPr="00454882">
        <w:t xml:space="preserve"> </w:t>
      </w:r>
      <w:r>
        <w:t>processes,</w:t>
      </w:r>
      <w:r w:rsidRPr="00454882">
        <w:t xml:space="preserve"> </w:t>
      </w:r>
      <w:r>
        <w:t>flexibility</w:t>
      </w:r>
      <w:r w:rsidRPr="00454882">
        <w:t xml:space="preserve"> </w:t>
      </w:r>
      <w:r>
        <w:t>and</w:t>
      </w:r>
      <w:r w:rsidRPr="00454882">
        <w:t xml:space="preserve"> </w:t>
      </w:r>
      <w:r>
        <w:t>certainty</w:t>
      </w:r>
      <w:r w:rsidRPr="00454882">
        <w:t xml:space="preserve"> </w:t>
      </w:r>
      <w:r>
        <w:t>of</w:t>
      </w:r>
      <w:r w:rsidRPr="00454882">
        <w:t xml:space="preserve"> </w:t>
      </w:r>
      <w:r>
        <w:t>quality</w:t>
      </w:r>
      <w:r w:rsidRPr="00454882">
        <w:t xml:space="preserve"> </w:t>
      </w:r>
      <w:r>
        <w:t>of</w:t>
      </w:r>
      <w:r w:rsidRPr="00454882">
        <w:t xml:space="preserve"> </w:t>
      </w:r>
      <w:r>
        <w:t>Services</w:t>
      </w:r>
      <w:r w:rsidRPr="00454882">
        <w:t xml:space="preserve"> </w:t>
      </w:r>
      <w:r>
        <w:t>delivery</w:t>
      </w:r>
    </w:p>
    <w:p w:rsidR="00454882" w:rsidRPr="00454882" w:rsidRDefault="00454882" w:rsidP="00454882">
      <w:pPr>
        <w:pStyle w:val="Heading4"/>
      </w:pPr>
      <w:r>
        <w:lastRenderedPageBreak/>
        <w:t>Criterion</w:t>
      </w:r>
      <w:r w:rsidRPr="00454882">
        <w:t xml:space="preserve"> J – Commitment to the Territory’s Local Industry Participation Policy (LIPP)</w:t>
      </w:r>
    </w:p>
    <w:p w:rsidR="00454882" w:rsidRPr="00454882" w:rsidRDefault="00454882" w:rsidP="00454882">
      <w:r>
        <w:t>The</w:t>
      </w:r>
      <w:r w:rsidRPr="00454882">
        <w:t xml:space="preserve"> </w:t>
      </w:r>
      <w:r>
        <w:t>Territory</w:t>
      </w:r>
      <w:r w:rsidRPr="00454882">
        <w:t xml:space="preserve"> </w:t>
      </w:r>
      <w:r>
        <w:t>evaluated</w:t>
      </w:r>
      <w:r w:rsidRPr="00454882">
        <w:t xml:space="preserve"> </w:t>
      </w:r>
      <w:r>
        <w:t>the</w:t>
      </w:r>
      <w:r w:rsidRPr="00454882">
        <w:t xml:space="preserve"> </w:t>
      </w:r>
      <w:r>
        <w:t>Respondent’s</w:t>
      </w:r>
      <w:r w:rsidRPr="00454882">
        <w:t xml:space="preserve"> </w:t>
      </w:r>
      <w:r>
        <w:t>LIPP</w:t>
      </w:r>
      <w:r w:rsidRPr="00454882">
        <w:t xml:space="preserve"> </w:t>
      </w:r>
      <w:r>
        <w:t>commitments</w:t>
      </w:r>
      <w:r w:rsidRPr="00454882">
        <w:t xml:space="preserve"> </w:t>
      </w:r>
      <w:r>
        <w:t>as</w:t>
      </w:r>
      <w:r w:rsidRPr="00454882">
        <w:t xml:space="preserve"> </w:t>
      </w:r>
      <w:r>
        <w:t>detailed</w:t>
      </w:r>
      <w:r w:rsidRPr="00454882">
        <w:t xml:space="preserve"> </w:t>
      </w:r>
      <w:r>
        <w:t>in</w:t>
      </w:r>
      <w:r w:rsidRPr="00454882">
        <w:t xml:space="preserve"> </w:t>
      </w:r>
      <w:r>
        <w:t>the</w:t>
      </w:r>
      <w:r w:rsidRPr="00454882">
        <w:t xml:space="preserve"> </w:t>
      </w:r>
      <w:r>
        <w:t>submitted</w:t>
      </w:r>
      <w:r w:rsidRPr="00454882">
        <w:t xml:space="preserve"> </w:t>
      </w:r>
      <w:r>
        <w:t>plan.</w:t>
      </w:r>
    </w:p>
    <w:p w:rsidR="00454882" w:rsidRPr="00454882" w:rsidRDefault="00454882" w:rsidP="00454882">
      <w:pPr>
        <w:pStyle w:val="Heading4"/>
      </w:pPr>
      <w:r>
        <w:t>Criterion K</w:t>
      </w:r>
      <w:r w:rsidRPr="00454882">
        <w:t xml:space="preserve"> – Approach to Priority Works</w:t>
      </w:r>
    </w:p>
    <w:p w:rsidR="00454882" w:rsidRPr="00DB28CA" w:rsidRDefault="00C97FE6" w:rsidP="00454882">
      <w:r>
        <w:t>The</w:t>
      </w:r>
      <w:r w:rsidRPr="00454882">
        <w:t xml:space="preserve"> </w:t>
      </w:r>
      <w:r>
        <w:t>Territory</w:t>
      </w:r>
      <w:r w:rsidRPr="00454882">
        <w:t xml:space="preserve"> </w:t>
      </w:r>
      <w:r>
        <w:t>evaluated</w:t>
      </w:r>
      <w:r w:rsidRPr="00454882">
        <w:t xml:space="preserve"> </w:t>
      </w:r>
      <w:r>
        <w:t>the</w:t>
      </w:r>
      <w:r w:rsidRPr="00454882">
        <w:t xml:space="preserve"> </w:t>
      </w:r>
      <w:r>
        <w:t>Respondent’s</w:t>
      </w:r>
      <w:r w:rsidRPr="00454882">
        <w:t xml:space="preserve"> </w:t>
      </w:r>
      <w:r w:rsidR="00454882">
        <w:t>design, deliver</w:t>
      </w:r>
      <w:r>
        <w:t>y</w:t>
      </w:r>
      <w:r w:rsidR="00454882">
        <w:t xml:space="preserve"> and commercial approach to delivering </w:t>
      </w:r>
      <w:r>
        <w:t xml:space="preserve">the </w:t>
      </w:r>
      <w:r w:rsidR="00454882">
        <w:t>Priority Works.</w:t>
      </w:r>
    </w:p>
    <w:bookmarkEnd w:id="15"/>
    <w:bookmarkEnd w:id="16"/>
    <w:p w:rsidR="008C0024" w:rsidRDefault="008C0024">
      <w:r>
        <w:br w:type="page"/>
      </w:r>
    </w:p>
    <w:p w:rsidR="00454882" w:rsidRPr="00454882" w:rsidRDefault="008C0024" w:rsidP="00454882">
      <w:r w:rsidRPr="008C0024">
        <w:rPr>
          <w:noProof/>
          <w:lang w:eastAsia="en-AU"/>
        </w:rPr>
        <w:lastRenderedPageBreak/>
        <w:drawing>
          <wp:anchor distT="0" distB="0" distL="114300" distR="114300" simplePos="0" relativeHeight="251689984" behindDoc="0" locked="0" layoutInCell="1" allowOverlap="1">
            <wp:simplePos x="0" y="0"/>
            <wp:positionH relativeFrom="column">
              <wp:posOffset>-1167564</wp:posOffset>
            </wp:positionH>
            <wp:positionV relativeFrom="paragraph">
              <wp:posOffset>-1091709</wp:posOffset>
            </wp:positionV>
            <wp:extent cx="7573942" cy="10695007"/>
            <wp:effectExtent l="19050" t="0" r="7958" b="0"/>
            <wp:wrapNone/>
            <wp:docPr id="24" name="Picture 1" descr="Decorative image"/>
            <wp:cNvGraphicFramePr/>
            <a:graphic xmlns:a="http://schemas.openxmlformats.org/drawingml/2006/main">
              <a:graphicData uri="http://schemas.openxmlformats.org/drawingml/2006/picture">
                <pic:pic xmlns:pic="http://schemas.openxmlformats.org/drawingml/2006/picture">
                  <pic:nvPicPr>
                    <pic:cNvPr id="7" name="Picture 6" descr="CBR-Branding_1.png"/>
                    <pic:cNvPicPr>
                      <a:picLocks noChangeAspect="1"/>
                    </pic:cNvPicPr>
                  </pic:nvPicPr>
                  <pic:blipFill>
                    <a:blip r:embed="rId11" cstate="print"/>
                    <a:srcRect t="26166" b="6615"/>
                    <a:stretch>
                      <a:fillRect/>
                    </a:stretch>
                  </pic:blipFill>
                  <pic:spPr>
                    <a:xfrm>
                      <a:off x="0" y="0"/>
                      <a:ext cx="7573942" cy="10695007"/>
                    </a:xfrm>
                    <a:prstGeom prst="rect">
                      <a:avLst/>
                    </a:prstGeom>
                  </pic:spPr>
                </pic:pic>
              </a:graphicData>
            </a:graphic>
          </wp:anchor>
        </w:drawing>
      </w:r>
    </w:p>
    <w:sectPr w:rsidR="00454882" w:rsidRPr="00454882" w:rsidSect="006517BC">
      <w:headerReference w:type="even" r:id="rId42"/>
      <w:headerReference w:type="default" r:id="rId43"/>
      <w:footerReference w:type="even" r:id="rId44"/>
      <w:footerReference w:type="default" r:id="rId45"/>
      <w:type w:val="continuous"/>
      <w:pgSz w:w="11906" w:h="16838" w:code="9"/>
      <w:pgMar w:top="1701" w:right="1418" w:bottom="1701" w:left="1814" w:header="680" w:footer="567"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69D9" w:rsidRPr="000D4EDE" w:rsidRDefault="00E569D9" w:rsidP="000D4EDE">
      <w:r>
        <w:separator/>
      </w:r>
    </w:p>
  </w:endnote>
  <w:endnote w:type="continuationSeparator" w:id="0">
    <w:p w:rsidR="00E569D9" w:rsidRPr="000D4EDE" w:rsidRDefault="00E569D9" w:rsidP="000D4ED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heSans Veolia W2 ExtraLight">
    <w:altName w:val="Arial"/>
    <w:panose1 w:val="00000000000000000000"/>
    <w:charset w:val="00"/>
    <w:family w:val="swiss"/>
    <w:notTrueType/>
    <w:pitch w:val="variable"/>
    <w:sig w:usb0="00000001" w:usb1="5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Default="00016AC7" w:rsidP="00680B55">
    <w:pPr>
      <w:pStyle w:val="Footer"/>
      <w:ind w:left="-709"/>
      <w:jc w:val="left"/>
    </w:pPr>
    <w:fldSimple w:instr=" PAGE   \* MERGEFORMAT ">
      <w:r w:rsidR="00183311">
        <w:rPr>
          <w:noProof/>
        </w:rPr>
        <w:t>iv</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Default="00016AC7" w:rsidP="006E7E7F">
    <w:pPr>
      <w:pStyle w:val="Footer"/>
      <w:ind w:right="-598"/>
    </w:pPr>
    <w:fldSimple w:instr=" PAGE   \* MERGEFORMAT ">
      <w:r w:rsidR="00183311">
        <w:rPr>
          <w:noProof/>
        </w:rPr>
        <w:t>iii</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Default="00E569D9" w:rsidP="00680B55">
    <w:pPr>
      <w:pStyle w:val="Footer"/>
      <w:ind w:left="-709"/>
      <w:jc w:val="left"/>
    </w:pPr>
    <w:r>
      <w:t xml:space="preserve">Page </w:t>
    </w:r>
    <w:fldSimple w:instr=" PAGE   \* MERGEFORMAT ">
      <w:r w:rsidR="00183311">
        <w:rPr>
          <w:noProof/>
        </w:rPr>
        <w:t>10</w:t>
      </w:r>
    </w:fldSimple>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Pr="00232926" w:rsidRDefault="00E569D9" w:rsidP="003026D8">
    <w:pPr>
      <w:pStyle w:val="Footer"/>
      <w:ind w:left="-851" w:right="-682"/>
    </w:pPr>
    <w:r>
      <w:t xml:space="preserve">Page </w:t>
    </w:r>
    <w:fldSimple w:instr=" PAGE   \* MERGEFORMAT ">
      <w:r w:rsidR="00183311">
        <w:rPr>
          <w:noProof/>
        </w:rPr>
        <w:t>9</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69D9" w:rsidRPr="000D4EDE" w:rsidRDefault="00E569D9" w:rsidP="000D4EDE">
      <w:r>
        <w:separator/>
      </w:r>
    </w:p>
  </w:footnote>
  <w:footnote w:type="continuationSeparator" w:id="0">
    <w:p w:rsidR="00E569D9" w:rsidRPr="000D4EDE" w:rsidRDefault="00E569D9" w:rsidP="000D4EDE">
      <w:r>
        <w:continuationSeparator/>
      </w:r>
    </w:p>
  </w:footnote>
  <w:footnote w:id="1">
    <w:p w:rsidR="00E569D9" w:rsidRDefault="00E569D9">
      <w:pPr>
        <w:pStyle w:val="FootnoteText"/>
      </w:pPr>
      <w:r>
        <w:rPr>
          <w:rStyle w:val="FootnoteReference"/>
        </w:rPr>
        <w:footnoteRef/>
      </w:r>
      <w:r>
        <w:t xml:space="preserve"> </w:t>
      </w:r>
      <w:r>
        <w:tab/>
        <w:t>The discount rate was established in accordance with the methodology set out in Volume 5 of the National Public Private Partnership Guidelines.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Pr="00806408" w:rsidRDefault="00E569D9" w:rsidP="00806408">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Pr="00806408" w:rsidRDefault="00E569D9" w:rsidP="0080640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Default="00E569D9" w:rsidP="006644EB">
    <w:pPr>
      <w:pStyle w:val="Header"/>
      <w:ind w:left="-851" w:right="-682"/>
    </w:pPr>
    <w:r>
      <w:t>ACT Law Courts PPP</w:t>
    </w:r>
  </w:p>
  <w:p w:rsidR="00E569D9" w:rsidRDefault="00E569D9" w:rsidP="006644EB">
    <w:pPr>
      <w:pStyle w:val="Header"/>
      <w:ind w:left="-851" w:right="-682"/>
    </w:pPr>
    <w:r>
      <w:t>Contract Summary</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9D9" w:rsidRDefault="00E569D9" w:rsidP="003026D8">
    <w:pPr>
      <w:pStyle w:val="Header"/>
      <w:ind w:left="-851" w:right="-682"/>
      <w:jc w:val="right"/>
    </w:pPr>
    <w:r>
      <w:t>ACT Law Courts PPP</w:t>
    </w:r>
  </w:p>
  <w:p w:rsidR="00E569D9" w:rsidRDefault="00E569D9" w:rsidP="003026D8">
    <w:pPr>
      <w:pStyle w:val="Header"/>
      <w:ind w:left="-851" w:right="-682"/>
      <w:jc w:val="right"/>
    </w:pPr>
    <w:r>
      <w:t>Contract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279CD018"/>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FE2EED0C"/>
    <w:lvl w:ilvl="0">
      <w:start w:val="1"/>
      <w:numFmt w:val="decimal"/>
      <w:pStyle w:val="ListNumber4"/>
      <w:lvlText w:val="%1)"/>
      <w:lvlJc w:val="left"/>
      <w:pPr>
        <w:ind w:left="1209" w:hanging="360"/>
      </w:pPr>
    </w:lvl>
  </w:abstractNum>
  <w:abstractNum w:abstractNumId="2">
    <w:nsid w:val="FFFFFF7E"/>
    <w:multiLevelType w:val="singleLevel"/>
    <w:tmpl w:val="2F22827C"/>
    <w:lvl w:ilvl="0">
      <w:start w:val="1"/>
      <w:numFmt w:val="decimal"/>
      <w:pStyle w:val="ListNumber3"/>
      <w:lvlText w:val="%1."/>
      <w:lvlJc w:val="left"/>
      <w:pPr>
        <w:tabs>
          <w:tab w:val="num" w:pos="926"/>
        </w:tabs>
        <w:ind w:left="926" w:hanging="360"/>
      </w:pPr>
    </w:lvl>
  </w:abstractNum>
  <w:abstractNum w:abstractNumId="3">
    <w:nsid w:val="FFFFFF7F"/>
    <w:multiLevelType w:val="singleLevel"/>
    <w:tmpl w:val="6002BA56"/>
    <w:lvl w:ilvl="0">
      <w:start w:val="1"/>
      <w:numFmt w:val="decimal"/>
      <w:lvlText w:val="%1."/>
      <w:lvlJc w:val="left"/>
      <w:pPr>
        <w:tabs>
          <w:tab w:val="num" w:pos="643"/>
        </w:tabs>
        <w:ind w:left="643" w:hanging="360"/>
      </w:pPr>
    </w:lvl>
  </w:abstractNum>
  <w:abstractNum w:abstractNumId="4">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EEEC7F64"/>
    <w:lvl w:ilvl="0">
      <w:start w:val="1"/>
      <w:numFmt w:val="bullet"/>
      <w:pStyle w:val="ListBullet4"/>
      <w:lvlText w:val=""/>
      <w:lvlJc w:val="left"/>
      <w:pPr>
        <w:ind w:left="1209" w:hanging="360"/>
      </w:pPr>
      <w:rPr>
        <w:rFonts w:ascii="Wingdings" w:hAnsi="Wingdings" w:hint="default"/>
      </w:rPr>
    </w:lvl>
  </w:abstractNum>
  <w:abstractNum w:abstractNumId="6">
    <w:nsid w:val="FFFFFF82"/>
    <w:multiLevelType w:val="singleLevel"/>
    <w:tmpl w:val="6900A68C"/>
    <w:lvl w:ilvl="0">
      <w:start w:val="1"/>
      <w:numFmt w:val="bullet"/>
      <w:pStyle w:val="ListBullet3"/>
      <w:lvlText w:val="–"/>
      <w:lvlJc w:val="left"/>
      <w:pPr>
        <w:ind w:left="926" w:hanging="360"/>
      </w:pPr>
      <w:rPr>
        <w:rFonts w:ascii="TheSans Veolia W2 ExtraLight" w:hAnsi="TheSans Veolia W2 ExtraLight" w:hint="default"/>
      </w:rPr>
    </w:lvl>
  </w:abstractNum>
  <w:abstractNum w:abstractNumId="7">
    <w:nsid w:val="FFFFFF88"/>
    <w:multiLevelType w:val="singleLevel"/>
    <w:tmpl w:val="5F0A622A"/>
    <w:lvl w:ilvl="0">
      <w:start w:val="1"/>
      <w:numFmt w:val="decimal"/>
      <w:lvlText w:val="%1."/>
      <w:lvlJc w:val="left"/>
      <w:pPr>
        <w:tabs>
          <w:tab w:val="num" w:pos="360"/>
        </w:tabs>
        <w:ind w:left="360" w:hanging="360"/>
      </w:pPr>
    </w:lvl>
  </w:abstractNum>
  <w:abstractNum w:abstractNumId="8">
    <w:nsid w:val="FFFFFF89"/>
    <w:multiLevelType w:val="singleLevel"/>
    <w:tmpl w:val="7E82DCF6"/>
    <w:lvl w:ilvl="0">
      <w:start w:val="1"/>
      <w:numFmt w:val="bullet"/>
      <w:lvlText w:val=""/>
      <w:lvlJc w:val="left"/>
      <w:pPr>
        <w:tabs>
          <w:tab w:val="num" w:pos="360"/>
        </w:tabs>
        <w:ind w:left="360" w:hanging="360"/>
      </w:pPr>
      <w:rPr>
        <w:rFonts w:ascii="Symbol" w:hAnsi="Symbol" w:hint="default"/>
      </w:rPr>
    </w:lvl>
  </w:abstractNum>
  <w:abstractNum w:abstractNumId="9">
    <w:nsid w:val="00000402"/>
    <w:multiLevelType w:val="multilevel"/>
    <w:tmpl w:val="00000885"/>
    <w:lvl w:ilvl="0">
      <w:numFmt w:val="bullet"/>
      <w:lvlText w:val=""/>
      <w:lvlJc w:val="left"/>
      <w:pPr>
        <w:ind w:left="359" w:hanging="360"/>
      </w:pPr>
      <w:rPr>
        <w:rFonts w:ascii="Symbol" w:hAnsi="Symbol" w:cs="Symbol"/>
        <w:b w:val="0"/>
        <w:bCs w:val="0"/>
        <w:color w:val="181818"/>
        <w:sz w:val="18"/>
        <w:szCs w:val="18"/>
      </w:rPr>
    </w:lvl>
    <w:lvl w:ilvl="1">
      <w:numFmt w:val="bullet"/>
      <w:lvlText w:val="•"/>
      <w:lvlJc w:val="left"/>
      <w:pPr>
        <w:ind w:left="1049" w:hanging="360"/>
      </w:pPr>
    </w:lvl>
    <w:lvl w:ilvl="2">
      <w:numFmt w:val="bullet"/>
      <w:lvlText w:val="•"/>
      <w:lvlJc w:val="left"/>
      <w:pPr>
        <w:ind w:left="1739" w:hanging="360"/>
      </w:pPr>
    </w:lvl>
    <w:lvl w:ilvl="3">
      <w:numFmt w:val="bullet"/>
      <w:lvlText w:val="•"/>
      <w:lvlJc w:val="left"/>
      <w:pPr>
        <w:ind w:left="2430" w:hanging="360"/>
      </w:pPr>
    </w:lvl>
    <w:lvl w:ilvl="4">
      <w:numFmt w:val="bullet"/>
      <w:lvlText w:val="•"/>
      <w:lvlJc w:val="left"/>
      <w:pPr>
        <w:ind w:left="3120" w:hanging="360"/>
      </w:pPr>
    </w:lvl>
    <w:lvl w:ilvl="5">
      <w:numFmt w:val="bullet"/>
      <w:lvlText w:val="•"/>
      <w:lvlJc w:val="left"/>
      <w:pPr>
        <w:ind w:left="3811" w:hanging="360"/>
      </w:pPr>
    </w:lvl>
    <w:lvl w:ilvl="6">
      <w:numFmt w:val="bullet"/>
      <w:lvlText w:val="•"/>
      <w:lvlJc w:val="left"/>
      <w:pPr>
        <w:ind w:left="4501" w:hanging="360"/>
      </w:pPr>
    </w:lvl>
    <w:lvl w:ilvl="7">
      <w:numFmt w:val="bullet"/>
      <w:lvlText w:val="•"/>
      <w:lvlJc w:val="left"/>
      <w:pPr>
        <w:ind w:left="5192" w:hanging="360"/>
      </w:pPr>
    </w:lvl>
    <w:lvl w:ilvl="8">
      <w:numFmt w:val="bullet"/>
      <w:lvlText w:val="•"/>
      <w:lvlJc w:val="left"/>
      <w:pPr>
        <w:ind w:left="5882" w:hanging="360"/>
      </w:pPr>
    </w:lvl>
  </w:abstractNum>
  <w:abstractNum w:abstractNumId="10">
    <w:nsid w:val="00000403"/>
    <w:multiLevelType w:val="multilevel"/>
    <w:tmpl w:val="00000886"/>
    <w:lvl w:ilvl="0">
      <w:numFmt w:val="bullet"/>
      <w:lvlText w:val=""/>
      <w:lvlJc w:val="left"/>
      <w:pPr>
        <w:ind w:left="424" w:hanging="360"/>
      </w:pPr>
      <w:rPr>
        <w:rFonts w:ascii="Symbol" w:hAnsi="Symbol" w:cs="Symbol"/>
        <w:b w:val="0"/>
        <w:bCs w:val="0"/>
        <w:color w:val="181818"/>
        <w:sz w:val="18"/>
        <w:szCs w:val="18"/>
      </w:rPr>
    </w:lvl>
    <w:lvl w:ilvl="1">
      <w:numFmt w:val="bullet"/>
      <w:lvlText w:val="•"/>
      <w:lvlJc w:val="left"/>
      <w:pPr>
        <w:ind w:left="724" w:hanging="360"/>
      </w:pPr>
    </w:lvl>
    <w:lvl w:ilvl="2">
      <w:numFmt w:val="bullet"/>
      <w:lvlText w:val="•"/>
      <w:lvlJc w:val="left"/>
      <w:pPr>
        <w:ind w:left="1023" w:hanging="360"/>
      </w:pPr>
    </w:lvl>
    <w:lvl w:ilvl="3">
      <w:numFmt w:val="bullet"/>
      <w:lvlText w:val="•"/>
      <w:lvlJc w:val="left"/>
      <w:pPr>
        <w:ind w:left="1322" w:hanging="360"/>
      </w:pPr>
    </w:lvl>
    <w:lvl w:ilvl="4">
      <w:numFmt w:val="bullet"/>
      <w:lvlText w:val="•"/>
      <w:lvlJc w:val="left"/>
      <w:pPr>
        <w:ind w:left="1621" w:hanging="360"/>
      </w:pPr>
    </w:lvl>
    <w:lvl w:ilvl="5">
      <w:numFmt w:val="bullet"/>
      <w:lvlText w:val="•"/>
      <w:lvlJc w:val="left"/>
      <w:pPr>
        <w:ind w:left="1921" w:hanging="360"/>
      </w:pPr>
    </w:lvl>
    <w:lvl w:ilvl="6">
      <w:numFmt w:val="bullet"/>
      <w:lvlText w:val="•"/>
      <w:lvlJc w:val="left"/>
      <w:pPr>
        <w:ind w:left="2220" w:hanging="360"/>
      </w:pPr>
    </w:lvl>
    <w:lvl w:ilvl="7">
      <w:numFmt w:val="bullet"/>
      <w:lvlText w:val="•"/>
      <w:lvlJc w:val="left"/>
      <w:pPr>
        <w:ind w:left="2519" w:hanging="360"/>
      </w:pPr>
    </w:lvl>
    <w:lvl w:ilvl="8">
      <w:numFmt w:val="bullet"/>
      <w:lvlText w:val="•"/>
      <w:lvlJc w:val="left"/>
      <w:pPr>
        <w:ind w:left="2819" w:hanging="360"/>
      </w:pPr>
    </w:lvl>
  </w:abstractNum>
  <w:abstractNum w:abstractNumId="11">
    <w:nsid w:val="18B8717C"/>
    <w:multiLevelType w:val="multilevel"/>
    <w:tmpl w:val="D8A018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1B57199C"/>
    <w:multiLevelType w:val="multilevel"/>
    <w:tmpl w:val="182EFE92"/>
    <w:lvl w:ilvl="0">
      <w:start w:val="1"/>
      <w:numFmt w:val="none"/>
      <w:lvlText w:val=""/>
      <w:lvlJc w:val="left"/>
      <w:pPr>
        <w:ind w:left="1077" w:hanging="1077"/>
      </w:pPr>
      <w:rPr>
        <w:rFonts w:hint="default"/>
      </w:rPr>
    </w:lvl>
    <w:lvl w:ilvl="1">
      <w:start w:val="1"/>
      <w:numFmt w:val="decimal"/>
      <w:pStyle w:val="Heading1"/>
      <w:lvlText w:val="%2.0"/>
      <w:lvlJc w:val="right"/>
      <w:pPr>
        <w:ind w:left="0" w:hanging="284"/>
      </w:pPr>
      <w:rPr>
        <w:rFonts w:hint="default"/>
      </w:rPr>
    </w:lvl>
    <w:lvl w:ilvl="2">
      <w:start w:val="1"/>
      <w:numFmt w:val="decimal"/>
      <w:pStyle w:val="Heading2"/>
      <w:lvlText w:val="%2.%3"/>
      <w:lvlJc w:val="right"/>
      <w:pPr>
        <w:ind w:left="0" w:hanging="284"/>
      </w:pPr>
      <w:rPr>
        <w:rFonts w:hint="default"/>
      </w:rPr>
    </w:lvl>
    <w:lvl w:ilvl="3">
      <w:start w:val="1"/>
      <w:numFmt w:val="decimal"/>
      <w:pStyle w:val="Heading3"/>
      <w:lvlText w:val="%2.%3.%4"/>
      <w:lvlJc w:val="right"/>
      <w:pPr>
        <w:ind w:left="0" w:hanging="284"/>
      </w:pPr>
      <w:rPr>
        <w:rFonts w:hint="default"/>
      </w:rPr>
    </w:lvl>
    <w:lvl w:ilvl="4">
      <w:start w:val="1"/>
      <w:numFmt w:val="none"/>
      <w:pStyle w:val="Heading4"/>
      <w:suff w:val="nothing"/>
      <w:lvlText w:val=""/>
      <w:lvlJc w:val="left"/>
      <w:pPr>
        <w:ind w:left="0" w:firstLine="0"/>
      </w:pPr>
      <w:rPr>
        <w:rFonts w:hint="default"/>
      </w:rPr>
    </w:lvl>
    <w:lvl w:ilvl="5">
      <w:start w:val="1"/>
      <w:numFmt w:val="upperLetter"/>
      <w:pStyle w:val="AppendixHeading"/>
      <w:suff w:val="space"/>
      <w:lvlText w:val="Appendix %6"/>
      <w:lvlJc w:val="left"/>
      <w:pPr>
        <w:ind w:left="0" w:firstLine="0"/>
      </w:pPr>
      <w:rPr>
        <w:rFonts w:hint="default"/>
      </w:rPr>
    </w:lvl>
    <w:lvl w:ilvl="6">
      <w:start w:val="1"/>
      <w:numFmt w:val="none"/>
      <w:pStyle w:val="AppendixSub"/>
      <w:suff w:val="nothing"/>
      <w:lvlText w:val=""/>
      <w:lvlJc w:val="left"/>
      <w:pPr>
        <w:ind w:left="0" w:firstLine="0"/>
      </w:pPr>
      <w:rPr>
        <w:rFonts w:hint="default"/>
      </w:rPr>
    </w:lvl>
    <w:lvl w:ilvl="7">
      <w:start w:val="1"/>
      <w:numFmt w:val="decimal"/>
      <w:pStyle w:val="ListNumber"/>
      <w:lvlText w:val="(%8)"/>
      <w:lvlJc w:val="left"/>
      <w:pPr>
        <w:ind w:left="680" w:hanging="453"/>
      </w:pPr>
      <w:rPr>
        <w:rFonts w:hint="default"/>
      </w:rPr>
    </w:lvl>
    <w:lvl w:ilvl="8">
      <w:start w:val="1"/>
      <w:numFmt w:val="lowerRoman"/>
      <w:pStyle w:val="ListNumber2"/>
      <w:lvlText w:val="(%9)"/>
      <w:lvlJc w:val="left"/>
      <w:pPr>
        <w:ind w:left="1247" w:hanging="453"/>
      </w:pPr>
      <w:rPr>
        <w:rFonts w:hint="default"/>
      </w:rPr>
    </w:lvl>
  </w:abstractNum>
  <w:abstractNum w:abstractNumId="13">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E585643"/>
    <w:multiLevelType w:val="multilevel"/>
    <w:tmpl w:val="1B304124"/>
    <w:lvl w:ilvl="0">
      <w:start w:val="1"/>
      <w:numFmt w:val="none"/>
      <w:pStyle w:val="Caption"/>
      <w:suff w:val="nothing"/>
      <w:lvlText w:val=""/>
      <w:lvlJc w:val="left"/>
      <w:pPr>
        <w:ind w:left="0" w:firstLine="0"/>
      </w:pPr>
      <w:rPr>
        <w:rFonts w:hint="default"/>
      </w:rPr>
    </w:lvl>
    <w:lvl w:ilvl="1">
      <w:start w:val="1"/>
      <w:numFmt w:val="decimal"/>
      <w:pStyle w:val="TableNumListListNumber3"/>
      <w:lvlText w:val="%2)"/>
      <w:lvlJc w:val="left"/>
      <w:pPr>
        <w:tabs>
          <w:tab w:val="num" w:pos="448"/>
        </w:tabs>
        <w:ind w:left="448" w:hanging="340"/>
      </w:pPr>
      <w:rPr>
        <w:rFonts w:hint="default"/>
      </w:rPr>
    </w:lvl>
    <w:lvl w:ilvl="2">
      <w:start w:val="1"/>
      <w:numFmt w:val="lowerLetter"/>
      <w:pStyle w:val="TableAlphaListListNumber4"/>
      <w:lvlText w:val="%3)"/>
      <w:lvlJc w:val="left"/>
      <w:pPr>
        <w:tabs>
          <w:tab w:val="num" w:pos="788"/>
        </w:tabs>
        <w:ind w:left="788" w:hanging="34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nsid w:val="1F0A6A75"/>
    <w:multiLevelType w:val="multilevel"/>
    <w:tmpl w:val="21947956"/>
    <w:styleLink w:val="GeneralList"/>
    <w:lvl w:ilvl="0">
      <w:start w:val="1"/>
      <w:numFmt w:val="bullet"/>
      <w:lvlText w:val=""/>
      <w:lvlJc w:val="left"/>
      <w:pPr>
        <w:ind w:left="360" w:hanging="360"/>
      </w:pPr>
      <w:rPr>
        <w:rFonts w:ascii="Symbol" w:hAnsi="Symbol" w:hint="default"/>
        <w:color w:val="000000" w:themeColor="text1"/>
      </w:rPr>
    </w:lvl>
    <w:lvl w:ilvl="1">
      <w:start w:val="1"/>
      <w:numFmt w:val="bullet"/>
      <w:lvlText w:val=""/>
      <w:lvlJc w:val="left"/>
      <w:pPr>
        <w:ind w:left="720" w:hanging="363"/>
      </w:pPr>
      <w:rPr>
        <w:rFonts w:ascii="Symbol" w:hAnsi="Symbol" w:hint="default"/>
        <w:color w:val="000000"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nsid w:val="266C3831"/>
    <w:multiLevelType w:val="hybridMultilevel"/>
    <w:tmpl w:val="B9C8CCF6"/>
    <w:lvl w:ilvl="0" w:tplc="7F4E79E8">
      <w:start w:val="1"/>
      <w:numFmt w:val="bullet"/>
      <w:pStyle w:val="BodyBullet1"/>
      <w:lvlText w:val=""/>
      <w:lvlJc w:val="left"/>
      <w:pPr>
        <w:ind w:left="1077" w:hanging="360"/>
      </w:pPr>
      <w:rPr>
        <w:rFonts w:ascii="Wingdings" w:hAnsi="Wingdings" w:hint="default"/>
        <w:color w:val="auto"/>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7">
    <w:nsid w:val="2D4F791F"/>
    <w:multiLevelType w:val="hybridMultilevel"/>
    <w:tmpl w:val="F1C24B26"/>
    <w:lvl w:ilvl="0" w:tplc="678E1022">
      <w:start w:val="1"/>
      <w:numFmt w:val="bullet"/>
      <w:pStyle w:val="BodyBullet2"/>
      <w:lvlText w:val=""/>
      <w:lvlJc w:val="left"/>
      <w:pPr>
        <w:ind w:left="1077" w:hanging="360"/>
      </w:pPr>
      <w:rPr>
        <w:rFonts w:ascii="Symbol" w:hAnsi="Symbol" w:hint="default"/>
        <w:color w:val="auto"/>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8">
    <w:nsid w:val="35D26699"/>
    <w:multiLevelType w:val="hybridMultilevel"/>
    <w:tmpl w:val="91563DF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19">
    <w:nsid w:val="3B434A06"/>
    <w:multiLevelType w:val="multilevel"/>
    <w:tmpl w:val="6E9E0BF2"/>
    <w:lvl w:ilvl="0">
      <w:start w:val="1"/>
      <w:numFmt w:val="decimal"/>
      <w:pStyle w:val="Level1"/>
      <w:lvlText w:val="%1."/>
      <w:lvlJc w:val="left"/>
      <w:pPr>
        <w:tabs>
          <w:tab w:val="num" w:pos="964"/>
        </w:tabs>
        <w:ind w:left="794" w:hanging="794"/>
      </w:pPr>
      <w:rPr>
        <w:rFonts w:hint="default"/>
      </w:rPr>
    </w:lvl>
    <w:lvl w:ilvl="1">
      <w:start w:val="1"/>
      <w:numFmt w:val="decimal"/>
      <w:pStyle w:val="Level2"/>
      <w:lvlText w:val="%1.%2"/>
      <w:lvlJc w:val="left"/>
      <w:pPr>
        <w:tabs>
          <w:tab w:val="num" w:pos="1928"/>
        </w:tabs>
        <w:ind w:left="794" w:hanging="794"/>
      </w:pPr>
      <w:rPr>
        <w:rFonts w:hint="default"/>
      </w:rPr>
    </w:lvl>
    <w:lvl w:ilvl="2">
      <w:start w:val="1"/>
      <w:numFmt w:val="lowerLetter"/>
      <w:pStyle w:val="Level3"/>
      <w:lvlText w:val="(%3)"/>
      <w:lvlJc w:val="left"/>
      <w:pPr>
        <w:tabs>
          <w:tab w:val="num" w:pos="2892"/>
        </w:tabs>
        <w:ind w:left="1588" w:hanging="794"/>
      </w:pPr>
      <w:rPr>
        <w:rFonts w:hint="default"/>
      </w:rPr>
    </w:lvl>
    <w:lvl w:ilvl="3">
      <w:start w:val="1"/>
      <w:numFmt w:val="lowerRoman"/>
      <w:pStyle w:val="Level4"/>
      <w:lvlText w:val="(%4)"/>
      <w:lvlJc w:val="left"/>
      <w:pPr>
        <w:tabs>
          <w:tab w:val="num" w:pos="3856"/>
        </w:tabs>
        <w:ind w:left="2381" w:hanging="793"/>
      </w:pPr>
      <w:rPr>
        <w:rFonts w:hint="default"/>
      </w:rPr>
    </w:lvl>
    <w:lvl w:ilvl="4">
      <w:start w:val="1"/>
      <w:numFmt w:val="upperLetter"/>
      <w:pStyle w:val="Level5"/>
      <w:lvlText w:val="%5."/>
      <w:lvlJc w:val="left"/>
      <w:pPr>
        <w:ind w:left="2948" w:hanging="567"/>
      </w:pPr>
      <w:rPr>
        <w:rFonts w:hint="default"/>
      </w:rPr>
    </w:lvl>
    <w:lvl w:ilvl="5">
      <w:start w:val="1"/>
      <w:numFmt w:val="none"/>
      <w:lvlText w:val=""/>
      <w:lvlJc w:val="left"/>
      <w:pPr>
        <w:tabs>
          <w:tab w:val="num" w:pos="5783"/>
        </w:tabs>
        <w:ind w:left="5783" w:firstLine="0"/>
      </w:pPr>
      <w:rPr>
        <w:rFonts w:hint="default"/>
      </w:rPr>
    </w:lvl>
    <w:lvl w:ilvl="6">
      <w:start w:val="1"/>
      <w:numFmt w:val="none"/>
      <w:lvlText w:val=""/>
      <w:lvlJc w:val="left"/>
      <w:pPr>
        <w:tabs>
          <w:tab w:val="num" w:pos="964"/>
        </w:tabs>
        <w:ind w:left="964" w:firstLine="0"/>
      </w:pPr>
      <w:rPr>
        <w:rFonts w:hint="default"/>
      </w:rPr>
    </w:lvl>
    <w:lvl w:ilvl="7">
      <w:start w:val="1"/>
      <w:numFmt w:val="none"/>
      <w:lvlText w:val=""/>
      <w:lvlJc w:val="left"/>
      <w:pPr>
        <w:tabs>
          <w:tab w:val="num" w:pos="964"/>
        </w:tabs>
        <w:ind w:left="964" w:firstLine="0"/>
      </w:pPr>
      <w:rPr>
        <w:rFonts w:hint="default"/>
      </w:rPr>
    </w:lvl>
    <w:lvl w:ilvl="8">
      <w:start w:val="1"/>
      <w:numFmt w:val="none"/>
      <w:lvlText w:val=""/>
      <w:lvlJc w:val="left"/>
      <w:pPr>
        <w:tabs>
          <w:tab w:val="num" w:pos="964"/>
        </w:tabs>
        <w:ind w:left="964" w:firstLine="0"/>
      </w:pPr>
      <w:rPr>
        <w:rFonts w:hint="default"/>
      </w:rPr>
    </w:lvl>
  </w:abstractNum>
  <w:abstractNum w:abstractNumId="20">
    <w:nsid w:val="43F148C1"/>
    <w:multiLevelType w:val="multilevel"/>
    <w:tmpl w:val="1A0CBA48"/>
    <w:lvl w:ilvl="0">
      <w:start w:val="1"/>
      <w:numFmt w:val="bullet"/>
      <w:pStyle w:val="ListBullet"/>
      <w:lvlText w:val=""/>
      <w:lvlJc w:val="left"/>
      <w:pPr>
        <w:tabs>
          <w:tab w:val="num" w:pos="510"/>
        </w:tabs>
        <w:ind w:left="510" w:hanging="397"/>
      </w:pPr>
      <w:rPr>
        <w:rFonts w:ascii="Wingdings" w:hAnsi="Wingdings" w:hint="default"/>
        <w:color w:val="0051BA" w:themeColor="accent1"/>
      </w:rPr>
    </w:lvl>
    <w:lvl w:ilvl="1">
      <w:start w:val="1"/>
      <w:numFmt w:val="bullet"/>
      <w:pStyle w:val="ListBullet2"/>
      <w:lvlText w:val="-"/>
      <w:lvlJc w:val="left"/>
      <w:pPr>
        <w:tabs>
          <w:tab w:val="num" w:pos="907"/>
        </w:tabs>
        <w:ind w:left="907" w:hanging="397"/>
      </w:pPr>
      <w:rPr>
        <w:rFonts w:ascii="Arial" w:hAnsi="Arial" w:hint="default"/>
        <w:color w:val="000000" w:themeColor="text1"/>
      </w:rPr>
    </w:lvl>
    <w:lvl w:ilvl="2">
      <w:start w:val="1"/>
      <w:numFmt w:val="bullet"/>
      <w:pStyle w:val="TableBullet1ListBullet3"/>
      <w:lvlText w:val=""/>
      <w:lvlJc w:val="left"/>
      <w:pPr>
        <w:tabs>
          <w:tab w:val="num" w:pos="448"/>
        </w:tabs>
        <w:ind w:left="448" w:hanging="340"/>
      </w:pPr>
      <w:rPr>
        <w:rFonts w:ascii="Wingdings" w:hAnsi="Wingdings" w:hint="default"/>
        <w:color w:val="0051BA" w:themeColor="accent1"/>
      </w:rPr>
    </w:lvl>
    <w:lvl w:ilvl="3">
      <w:start w:val="1"/>
      <w:numFmt w:val="bullet"/>
      <w:pStyle w:val="TableBullet2ListBullet4"/>
      <w:lvlText w:val="-"/>
      <w:lvlJc w:val="left"/>
      <w:pPr>
        <w:tabs>
          <w:tab w:val="num" w:pos="788"/>
        </w:tabs>
        <w:ind w:left="788" w:hanging="340"/>
      </w:pPr>
      <w:rPr>
        <w:rFonts w:ascii="Arial" w:hAnsi="Arial" w:hint="default"/>
        <w:color w:val="0051BA" w:themeColor="accent1"/>
      </w:rPr>
    </w:lvl>
    <w:lvl w:ilvl="4">
      <w:start w:val="1"/>
      <w:numFmt w:val="none"/>
      <w:suff w:val="nothing"/>
      <w:lvlText w:val=""/>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1">
    <w:nsid w:val="4A0445F4"/>
    <w:multiLevelType w:val="multilevel"/>
    <w:tmpl w:val="94B6B680"/>
    <w:styleLink w:val="Lists"/>
    <w:lvl w:ilvl="0">
      <w:start w:val="1"/>
      <w:numFmt w:val="none"/>
      <w:suff w:val="nothing"/>
      <w:lvlText w:val="%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decimal"/>
      <w:lvlText w:val="%6."/>
      <w:lvlJc w:val="left"/>
      <w:pPr>
        <w:tabs>
          <w:tab w:val="num" w:pos="227"/>
        </w:tabs>
        <w:ind w:left="227" w:hanging="227"/>
      </w:pPr>
      <w:rPr>
        <w:rFonts w:hint="default"/>
      </w:rPr>
    </w:lvl>
    <w:lvl w:ilvl="6">
      <w:start w:val="1"/>
      <w:numFmt w:val="lowerLetter"/>
      <w:lvlText w:val="%7)"/>
      <w:lvlJc w:val="left"/>
      <w:pPr>
        <w:tabs>
          <w:tab w:val="num" w:pos="454"/>
        </w:tabs>
        <w:ind w:left="454" w:hanging="227"/>
      </w:pPr>
      <w:rPr>
        <w:rFonts w:hint="default"/>
      </w:rPr>
    </w:lvl>
    <w:lvl w:ilvl="7">
      <w:start w:val="1"/>
      <w:numFmt w:val="lowerRoman"/>
      <w:lvlText w:val="%8)"/>
      <w:lvlJc w:val="left"/>
      <w:pPr>
        <w:tabs>
          <w:tab w:val="num" w:pos="680"/>
        </w:tabs>
        <w:ind w:left="680" w:hanging="226"/>
      </w:pPr>
      <w:rPr>
        <w:rFonts w:hint="default"/>
      </w:rPr>
    </w:lvl>
    <w:lvl w:ilvl="8">
      <w:start w:val="1"/>
      <w:numFmt w:val="none"/>
      <w:lvlText w:val="%9"/>
      <w:lvlJc w:val="left"/>
      <w:pPr>
        <w:ind w:left="0" w:firstLine="0"/>
      </w:pPr>
      <w:rPr>
        <w:rFonts w:hint="default"/>
      </w:rPr>
    </w:lvl>
  </w:abstractNum>
  <w:abstractNum w:abstractNumId="22">
    <w:nsid w:val="58BD12AB"/>
    <w:multiLevelType w:val="multilevel"/>
    <w:tmpl w:val="A7F28086"/>
    <w:styleLink w:val="TableLists"/>
    <w:lvl w:ilvl="0">
      <w:start w:val="1"/>
      <w:numFmt w:val="decimal"/>
      <w:suff w:val="nothing"/>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3">
    <w:nsid w:val="5A426B28"/>
    <w:multiLevelType w:val="multilevel"/>
    <w:tmpl w:val="88E67880"/>
    <w:styleLink w:val="MultiLevelheadinglist"/>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4)"/>
      <w:lvlJc w:val="left"/>
      <w:pPr>
        <w:ind w:left="720" w:hanging="720"/>
      </w:pPr>
      <w:rPr>
        <w:rFonts w:hint="default"/>
      </w:rPr>
    </w:lvl>
    <w:lvl w:ilvl="4">
      <w:start w:val="1"/>
      <w:numFmt w:val="lowerLetter"/>
      <w:lvlText w:val="(%5)"/>
      <w:lvlJc w:val="left"/>
      <w:pPr>
        <w:ind w:left="720" w:hanging="720"/>
      </w:pPr>
      <w:rPr>
        <w:rFonts w:hint="default"/>
      </w:rPr>
    </w:lvl>
    <w:lvl w:ilvl="5">
      <w:start w:val="1"/>
      <w:numFmt w:val="lowerRoman"/>
      <w:lvlText w:val="(%6)"/>
      <w:lvlJc w:val="left"/>
      <w:pPr>
        <w:ind w:left="720" w:hanging="720"/>
      </w:pPr>
      <w:rPr>
        <w:rFonts w:hint="default"/>
      </w:rPr>
    </w:lvl>
    <w:lvl w:ilvl="6">
      <w:start w:val="1"/>
      <w:numFmt w:val="decimal"/>
      <w:lvlText w:val="%7."/>
      <w:lvlJc w:val="left"/>
      <w:pPr>
        <w:ind w:left="720" w:hanging="720"/>
      </w:pPr>
      <w:rPr>
        <w:rFonts w:hint="default"/>
      </w:rPr>
    </w:lvl>
    <w:lvl w:ilvl="7">
      <w:start w:val="1"/>
      <w:numFmt w:val="lowerLetter"/>
      <w:lvlText w:val="%8."/>
      <w:lvlJc w:val="left"/>
      <w:pPr>
        <w:ind w:left="720" w:hanging="720"/>
      </w:pPr>
      <w:rPr>
        <w:rFonts w:hint="default"/>
      </w:rPr>
    </w:lvl>
    <w:lvl w:ilvl="8">
      <w:start w:val="1"/>
      <w:numFmt w:val="lowerRoman"/>
      <w:lvlText w:val="%9."/>
      <w:lvlJc w:val="left"/>
      <w:pPr>
        <w:ind w:left="720" w:hanging="720"/>
      </w:pPr>
      <w:rPr>
        <w:rFonts w:hint="default"/>
      </w:rPr>
    </w:lvl>
  </w:abstractNum>
  <w:abstractNum w:abstractNumId="24">
    <w:nsid w:val="5C946895"/>
    <w:multiLevelType w:val="multilevel"/>
    <w:tmpl w:val="B972C6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nsid w:val="61F94BBC"/>
    <w:multiLevelType w:val="hybridMultilevel"/>
    <w:tmpl w:val="193A0BBC"/>
    <w:lvl w:ilvl="0" w:tplc="AF3E6E12">
      <w:start w:val="1"/>
      <w:numFmt w:val="bullet"/>
      <w:pStyle w:val="TableBullet"/>
      <w:lvlText w:val=""/>
      <w:lvlJc w:val="left"/>
      <w:pPr>
        <w:ind w:left="720" w:hanging="360"/>
      </w:pPr>
      <w:rPr>
        <w:rFonts w:ascii="Symbol" w:hAnsi="Symbol" w:hint="default"/>
      </w:rPr>
    </w:lvl>
    <w:lvl w:ilvl="1" w:tplc="8D626ECC" w:tentative="1">
      <w:start w:val="1"/>
      <w:numFmt w:val="bullet"/>
      <w:lvlText w:val="o"/>
      <w:lvlJc w:val="left"/>
      <w:pPr>
        <w:ind w:left="1440" w:hanging="360"/>
      </w:pPr>
      <w:rPr>
        <w:rFonts w:ascii="Courier New" w:hAnsi="Courier New" w:cs="Courier New" w:hint="default"/>
      </w:rPr>
    </w:lvl>
    <w:lvl w:ilvl="2" w:tplc="0C324FE6" w:tentative="1">
      <w:start w:val="1"/>
      <w:numFmt w:val="bullet"/>
      <w:lvlText w:val=""/>
      <w:lvlJc w:val="left"/>
      <w:pPr>
        <w:ind w:left="2160" w:hanging="360"/>
      </w:pPr>
      <w:rPr>
        <w:rFonts w:ascii="Wingdings" w:hAnsi="Wingdings" w:hint="default"/>
      </w:rPr>
    </w:lvl>
    <w:lvl w:ilvl="3" w:tplc="C416F11A" w:tentative="1">
      <w:start w:val="1"/>
      <w:numFmt w:val="bullet"/>
      <w:lvlText w:val=""/>
      <w:lvlJc w:val="left"/>
      <w:pPr>
        <w:ind w:left="2880" w:hanging="360"/>
      </w:pPr>
      <w:rPr>
        <w:rFonts w:ascii="Symbol" w:hAnsi="Symbol" w:hint="default"/>
      </w:rPr>
    </w:lvl>
    <w:lvl w:ilvl="4" w:tplc="0BBEC630" w:tentative="1">
      <w:start w:val="1"/>
      <w:numFmt w:val="bullet"/>
      <w:lvlText w:val="o"/>
      <w:lvlJc w:val="left"/>
      <w:pPr>
        <w:ind w:left="3600" w:hanging="360"/>
      </w:pPr>
      <w:rPr>
        <w:rFonts w:ascii="Courier New" w:hAnsi="Courier New" w:cs="Courier New" w:hint="default"/>
      </w:rPr>
    </w:lvl>
    <w:lvl w:ilvl="5" w:tplc="D0FC1174" w:tentative="1">
      <w:start w:val="1"/>
      <w:numFmt w:val="bullet"/>
      <w:lvlText w:val=""/>
      <w:lvlJc w:val="left"/>
      <w:pPr>
        <w:ind w:left="4320" w:hanging="360"/>
      </w:pPr>
      <w:rPr>
        <w:rFonts w:ascii="Wingdings" w:hAnsi="Wingdings" w:hint="default"/>
      </w:rPr>
    </w:lvl>
    <w:lvl w:ilvl="6" w:tplc="FD4E25C0" w:tentative="1">
      <w:start w:val="1"/>
      <w:numFmt w:val="bullet"/>
      <w:lvlText w:val=""/>
      <w:lvlJc w:val="left"/>
      <w:pPr>
        <w:ind w:left="5040" w:hanging="360"/>
      </w:pPr>
      <w:rPr>
        <w:rFonts w:ascii="Symbol" w:hAnsi="Symbol" w:hint="default"/>
      </w:rPr>
    </w:lvl>
    <w:lvl w:ilvl="7" w:tplc="84286570" w:tentative="1">
      <w:start w:val="1"/>
      <w:numFmt w:val="bullet"/>
      <w:lvlText w:val="o"/>
      <w:lvlJc w:val="left"/>
      <w:pPr>
        <w:ind w:left="5760" w:hanging="360"/>
      </w:pPr>
      <w:rPr>
        <w:rFonts w:ascii="Courier New" w:hAnsi="Courier New" w:cs="Courier New" w:hint="default"/>
      </w:rPr>
    </w:lvl>
    <w:lvl w:ilvl="8" w:tplc="DDE2E5B4" w:tentative="1">
      <w:start w:val="1"/>
      <w:numFmt w:val="bullet"/>
      <w:lvlText w:val=""/>
      <w:lvlJc w:val="left"/>
      <w:pPr>
        <w:ind w:left="6480" w:hanging="360"/>
      </w:pPr>
      <w:rPr>
        <w:rFonts w:ascii="Wingdings" w:hAnsi="Wingdings" w:hint="default"/>
      </w:rPr>
    </w:lvl>
  </w:abstractNum>
  <w:num w:numId="1">
    <w:abstractNumId w:val="16"/>
  </w:num>
  <w:num w:numId="2">
    <w:abstractNumId w:val="17"/>
  </w:num>
  <w:num w:numId="3">
    <w:abstractNumId w:val="2"/>
  </w:num>
  <w:num w:numId="4">
    <w:abstractNumId w:val="21"/>
  </w:num>
  <w:num w:numId="5">
    <w:abstractNumId w:val="23"/>
  </w:num>
  <w:num w:numId="6">
    <w:abstractNumId w:val="6"/>
  </w:num>
  <w:num w:numId="7">
    <w:abstractNumId w:val="5"/>
  </w:num>
  <w:num w:numId="8">
    <w:abstractNumId w:val="1"/>
  </w:num>
  <w:num w:numId="9">
    <w:abstractNumId w:val="4"/>
  </w:num>
  <w:num w:numId="10">
    <w:abstractNumId w:val="0"/>
  </w:num>
  <w:num w:numId="11">
    <w:abstractNumId w:val="15"/>
  </w:num>
  <w:num w:numId="12">
    <w:abstractNumId w:val="20"/>
  </w:num>
  <w:num w:numId="13">
    <w:abstractNumId w:val="13"/>
  </w:num>
  <w:num w:numId="14">
    <w:abstractNumId w:val="22"/>
  </w:num>
  <w:num w:numId="15">
    <w:abstractNumId w:val="14"/>
  </w:num>
  <w:num w:numId="16">
    <w:abstractNumId w:val="12"/>
  </w:num>
  <w:num w:numId="17">
    <w:abstractNumId w:val="12"/>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24"/>
  </w:num>
  <w:num w:numId="21">
    <w:abstractNumId w:val="24"/>
  </w:num>
  <w:num w:numId="22">
    <w:abstractNumId w:val="3"/>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11"/>
  </w:num>
  <w:num w:numId="26">
    <w:abstractNumId w:val="11"/>
  </w:num>
  <w:num w:numId="27">
    <w:abstractNumId w:val="11"/>
  </w:num>
  <w:num w:numId="28">
    <w:abstractNumId w:val="18"/>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0"/>
  </w:num>
  <w:num w:numId="36">
    <w:abstractNumId w:val="9"/>
  </w:num>
  <w:num w:numId="37">
    <w:abstractNumId w:val="25"/>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2"/>
  </w:num>
  <w:num w:numId="40">
    <w:abstractNumId w:val="12"/>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displayBackgroundShape/>
  <w:proofState w:spelling="clean" w:grammar="clean"/>
  <w:attachedTemplate r:id="rId1"/>
  <w:stylePaneFormatFilter w:val="1001"/>
  <w:stylePaneSortMethod w:val="0000"/>
  <w:documentProtection w:formatting="1" w:enforcement="0"/>
  <w:defaultTabStop w:val="720"/>
  <w:evenAndOddHeaders/>
  <w:characterSpacingControl w:val="doNotCompress"/>
  <w:hdrShapeDefaults>
    <o:shapedefaults v:ext="edit" spidmax="55297">
      <o:colormru v:ext="edit" colors="#0051ba,#ffc61e,#b3d4ff,#e1eeff"/>
      <o:colormenu v:ext="edit" fillcolor="none" strokecolor="none"/>
    </o:shapedefaults>
  </w:hdrShapeDefaults>
  <w:footnotePr>
    <w:footnote w:id="-1"/>
    <w:footnote w:id="0"/>
  </w:footnotePr>
  <w:endnotePr>
    <w:endnote w:id="-1"/>
    <w:endnote w:id="0"/>
  </w:endnotePr>
  <w:compat/>
  <w:rsids>
    <w:rsidRoot w:val="00F771C9"/>
    <w:rsid w:val="000013E8"/>
    <w:rsid w:val="000018AE"/>
    <w:rsid w:val="00002AFE"/>
    <w:rsid w:val="00005592"/>
    <w:rsid w:val="00005D98"/>
    <w:rsid w:val="00010A6F"/>
    <w:rsid w:val="00014594"/>
    <w:rsid w:val="000159E1"/>
    <w:rsid w:val="00016AC7"/>
    <w:rsid w:val="0001724D"/>
    <w:rsid w:val="000179A5"/>
    <w:rsid w:val="0002451B"/>
    <w:rsid w:val="00031FAF"/>
    <w:rsid w:val="00034A19"/>
    <w:rsid w:val="00036F9E"/>
    <w:rsid w:val="000413B3"/>
    <w:rsid w:val="00041F0A"/>
    <w:rsid w:val="0004532D"/>
    <w:rsid w:val="000479B8"/>
    <w:rsid w:val="0005059F"/>
    <w:rsid w:val="00053DF4"/>
    <w:rsid w:val="00054E0C"/>
    <w:rsid w:val="0006418C"/>
    <w:rsid w:val="00070BF7"/>
    <w:rsid w:val="0007460A"/>
    <w:rsid w:val="00075318"/>
    <w:rsid w:val="000810FA"/>
    <w:rsid w:val="000861E5"/>
    <w:rsid w:val="00086F71"/>
    <w:rsid w:val="000908E0"/>
    <w:rsid w:val="000949AD"/>
    <w:rsid w:val="00095109"/>
    <w:rsid w:val="00096105"/>
    <w:rsid w:val="00096210"/>
    <w:rsid w:val="00096B0F"/>
    <w:rsid w:val="0009783C"/>
    <w:rsid w:val="00097D8D"/>
    <w:rsid w:val="000A0852"/>
    <w:rsid w:val="000A0E50"/>
    <w:rsid w:val="000A3FF0"/>
    <w:rsid w:val="000A490E"/>
    <w:rsid w:val="000A559E"/>
    <w:rsid w:val="000B3E7D"/>
    <w:rsid w:val="000B63CA"/>
    <w:rsid w:val="000C14D9"/>
    <w:rsid w:val="000C1AEE"/>
    <w:rsid w:val="000C3634"/>
    <w:rsid w:val="000C3EF1"/>
    <w:rsid w:val="000C7C4D"/>
    <w:rsid w:val="000D07A5"/>
    <w:rsid w:val="000D399F"/>
    <w:rsid w:val="000D4EDE"/>
    <w:rsid w:val="000E0C9E"/>
    <w:rsid w:val="000E5CE3"/>
    <w:rsid w:val="000E69ED"/>
    <w:rsid w:val="000E6ECE"/>
    <w:rsid w:val="000E7FC7"/>
    <w:rsid w:val="000F0F55"/>
    <w:rsid w:val="000F0F9D"/>
    <w:rsid w:val="000F172D"/>
    <w:rsid w:val="000F2591"/>
    <w:rsid w:val="000F336D"/>
    <w:rsid w:val="000F5481"/>
    <w:rsid w:val="000F66D2"/>
    <w:rsid w:val="000F6B03"/>
    <w:rsid w:val="000F7E89"/>
    <w:rsid w:val="00100414"/>
    <w:rsid w:val="00103689"/>
    <w:rsid w:val="00103D50"/>
    <w:rsid w:val="00105CBE"/>
    <w:rsid w:val="001115C2"/>
    <w:rsid w:val="001136B8"/>
    <w:rsid w:val="00121B33"/>
    <w:rsid w:val="0012286E"/>
    <w:rsid w:val="00122933"/>
    <w:rsid w:val="001230C4"/>
    <w:rsid w:val="00123576"/>
    <w:rsid w:val="00124125"/>
    <w:rsid w:val="00124B21"/>
    <w:rsid w:val="00124C36"/>
    <w:rsid w:val="00127057"/>
    <w:rsid w:val="00127FF3"/>
    <w:rsid w:val="001333A2"/>
    <w:rsid w:val="001343E9"/>
    <w:rsid w:val="001348A7"/>
    <w:rsid w:val="001371B3"/>
    <w:rsid w:val="00137C1E"/>
    <w:rsid w:val="00140374"/>
    <w:rsid w:val="00142AF1"/>
    <w:rsid w:val="00142FCF"/>
    <w:rsid w:val="00143AD1"/>
    <w:rsid w:val="00143F80"/>
    <w:rsid w:val="001448BD"/>
    <w:rsid w:val="0014545F"/>
    <w:rsid w:val="00145930"/>
    <w:rsid w:val="001470EF"/>
    <w:rsid w:val="0015071B"/>
    <w:rsid w:val="00151B20"/>
    <w:rsid w:val="001523F9"/>
    <w:rsid w:val="001537E3"/>
    <w:rsid w:val="00161943"/>
    <w:rsid w:val="00161C79"/>
    <w:rsid w:val="00164EED"/>
    <w:rsid w:val="001653B6"/>
    <w:rsid w:val="001668F2"/>
    <w:rsid w:val="0016713E"/>
    <w:rsid w:val="001718D0"/>
    <w:rsid w:val="00174585"/>
    <w:rsid w:val="001757F2"/>
    <w:rsid w:val="001774ED"/>
    <w:rsid w:val="001809E8"/>
    <w:rsid w:val="00180D66"/>
    <w:rsid w:val="0018235E"/>
    <w:rsid w:val="00183311"/>
    <w:rsid w:val="00190CFA"/>
    <w:rsid w:val="00195DF5"/>
    <w:rsid w:val="00196699"/>
    <w:rsid w:val="00197B98"/>
    <w:rsid w:val="00197DF1"/>
    <w:rsid w:val="001A0A24"/>
    <w:rsid w:val="001A35AC"/>
    <w:rsid w:val="001A3E3B"/>
    <w:rsid w:val="001A4B1D"/>
    <w:rsid w:val="001B1A04"/>
    <w:rsid w:val="001B3125"/>
    <w:rsid w:val="001B315C"/>
    <w:rsid w:val="001B342E"/>
    <w:rsid w:val="001B473E"/>
    <w:rsid w:val="001B545F"/>
    <w:rsid w:val="001C1F90"/>
    <w:rsid w:val="001C58A7"/>
    <w:rsid w:val="001D06FA"/>
    <w:rsid w:val="001D3290"/>
    <w:rsid w:val="001D3DF2"/>
    <w:rsid w:val="001E0F51"/>
    <w:rsid w:val="001E1774"/>
    <w:rsid w:val="001E471D"/>
    <w:rsid w:val="001E5558"/>
    <w:rsid w:val="001E705B"/>
    <w:rsid w:val="001F4613"/>
    <w:rsid w:val="001F6D48"/>
    <w:rsid w:val="001F6E1A"/>
    <w:rsid w:val="001F70D4"/>
    <w:rsid w:val="002023ED"/>
    <w:rsid w:val="0020652A"/>
    <w:rsid w:val="00214939"/>
    <w:rsid w:val="00215B84"/>
    <w:rsid w:val="0021696C"/>
    <w:rsid w:val="002204F7"/>
    <w:rsid w:val="00224F9E"/>
    <w:rsid w:val="00225B55"/>
    <w:rsid w:val="00226893"/>
    <w:rsid w:val="00232926"/>
    <w:rsid w:val="00233CC5"/>
    <w:rsid w:val="002359E2"/>
    <w:rsid w:val="00235CDF"/>
    <w:rsid w:val="002362A3"/>
    <w:rsid w:val="00240126"/>
    <w:rsid w:val="00243A9B"/>
    <w:rsid w:val="00245B8D"/>
    <w:rsid w:val="00246D20"/>
    <w:rsid w:val="00250D59"/>
    <w:rsid w:val="002511EC"/>
    <w:rsid w:val="00252E6A"/>
    <w:rsid w:val="002536A8"/>
    <w:rsid w:val="0026107D"/>
    <w:rsid w:val="002613E6"/>
    <w:rsid w:val="00261D3E"/>
    <w:rsid w:val="002661A6"/>
    <w:rsid w:val="00266C23"/>
    <w:rsid w:val="00267865"/>
    <w:rsid w:val="00267ECE"/>
    <w:rsid w:val="00270821"/>
    <w:rsid w:val="002724DB"/>
    <w:rsid w:val="00283E77"/>
    <w:rsid w:val="00285105"/>
    <w:rsid w:val="00286EAD"/>
    <w:rsid w:val="002910F4"/>
    <w:rsid w:val="0029283D"/>
    <w:rsid w:val="002931A6"/>
    <w:rsid w:val="0029389B"/>
    <w:rsid w:val="002969C3"/>
    <w:rsid w:val="002975CE"/>
    <w:rsid w:val="00297860"/>
    <w:rsid w:val="00297A1E"/>
    <w:rsid w:val="002A3928"/>
    <w:rsid w:val="002A4FEA"/>
    <w:rsid w:val="002A59E1"/>
    <w:rsid w:val="002A610F"/>
    <w:rsid w:val="002A7D14"/>
    <w:rsid w:val="002A7EAC"/>
    <w:rsid w:val="002B162F"/>
    <w:rsid w:val="002B7504"/>
    <w:rsid w:val="002C0D97"/>
    <w:rsid w:val="002C50E2"/>
    <w:rsid w:val="002C58A1"/>
    <w:rsid w:val="002C7065"/>
    <w:rsid w:val="002C750B"/>
    <w:rsid w:val="002C7F4A"/>
    <w:rsid w:val="002D10AC"/>
    <w:rsid w:val="002D2804"/>
    <w:rsid w:val="002D594F"/>
    <w:rsid w:val="002D636F"/>
    <w:rsid w:val="002D74EE"/>
    <w:rsid w:val="002D776B"/>
    <w:rsid w:val="002D779B"/>
    <w:rsid w:val="002D7D5B"/>
    <w:rsid w:val="002E3E57"/>
    <w:rsid w:val="002E44DB"/>
    <w:rsid w:val="002E7E6F"/>
    <w:rsid w:val="002F0C2C"/>
    <w:rsid w:val="002F0C95"/>
    <w:rsid w:val="002F34E6"/>
    <w:rsid w:val="002F34F1"/>
    <w:rsid w:val="002F46C6"/>
    <w:rsid w:val="002F47F7"/>
    <w:rsid w:val="002F5F00"/>
    <w:rsid w:val="00301156"/>
    <w:rsid w:val="003026D8"/>
    <w:rsid w:val="00303D18"/>
    <w:rsid w:val="003050E6"/>
    <w:rsid w:val="00305114"/>
    <w:rsid w:val="00307ADD"/>
    <w:rsid w:val="00310F27"/>
    <w:rsid w:val="003117D4"/>
    <w:rsid w:val="003130CA"/>
    <w:rsid w:val="00315C03"/>
    <w:rsid w:val="00315D79"/>
    <w:rsid w:val="003166A0"/>
    <w:rsid w:val="0031758D"/>
    <w:rsid w:val="00320784"/>
    <w:rsid w:val="0032130A"/>
    <w:rsid w:val="003231A9"/>
    <w:rsid w:val="00324424"/>
    <w:rsid w:val="00326B0A"/>
    <w:rsid w:val="0033298E"/>
    <w:rsid w:val="003448E4"/>
    <w:rsid w:val="0034499B"/>
    <w:rsid w:val="00346A1C"/>
    <w:rsid w:val="0034798B"/>
    <w:rsid w:val="003501D3"/>
    <w:rsid w:val="00351471"/>
    <w:rsid w:val="003604DB"/>
    <w:rsid w:val="0036061B"/>
    <w:rsid w:val="00360B22"/>
    <w:rsid w:val="00361373"/>
    <w:rsid w:val="00363955"/>
    <w:rsid w:val="00365068"/>
    <w:rsid w:val="00370736"/>
    <w:rsid w:val="00371F54"/>
    <w:rsid w:val="00375726"/>
    <w:rsid w:val="00375CA1"/>
    <w:rsid w:val="00383A95"/>
    <w:rsid w:val="00383E17"/>
    <w:rsid w:val="003878E7"/>
    <w:rsid w:val="003935C5"/>
    <w:rsid w:val="003971BA"/>
    <w:rsid w:val="003A0248"/>
    <w:rsid w:val="003A3021"/>
    <w:rsid w:val="003A40B0"/>
    <w:rsid w:val="003B2AF0"/>
    <w:rsid w:val="003B31BF"/>
    <w:rsid w:val="003B376E"/>
    <w:rsid w:val="003B5FD9"/>
    <w:rsid w:val="003B66D7"/>
    <w:rsid w:val="003B6E16"/>
    <w:rsid w:val="003C03B2"/>
    <w:rsid w:val="003C0523"/>
    <w:rsid w:val="003C52B6"/>
    <w:rsid w:val="003D0770"/>
    <w:rsid w:val="003D27CB"/>
    <w:rsid w:val="003D3A97"/>
    <w:rsid w:val="003D7084"/>
    <w:rsid w:val="003E1570"/>
    <w:rsid w:val="003E2F88"/>
    <w:rsid w:val="003E6BF6"/>
    <w:rsid w:val="003F0F0D"/>
    <w:rsid w:val="003F2761"/>
    <w:rsid w:val="003F3ED9"/>
    <w:rsid w:val="004008F8"/>
    <w:rsid w:val="0040151D"/>
    <w:rsid w:val="0040173E"/>
    <w:rsid w:val="00402E0D"/>
    <w:rsid w:val="00405A2D"/>
    <w:rsid w:val="00405D4D"/>
    <w:rsid w:val="004132BE"/>
    <w:rsid w:val="00414A70"/>
    <w:rsid w:val="00414C50"/>
    <w:rsid w:val="0041662D"/>
    <w:rsid w:val="00426523"/>
    <w:rsid w:val="00430F7A"/>
    <w:rsid w:val="004327FF"/>
    <w:rsid w:val="004421A7"/>
    <w:rsid w:val="004437F7"/>
    <w:rsid w:val="004442F1"/>
    <w:rsid w:val="00453384"/>
    <w:rsid w:val="00453AB1"/>
    <w:rsid w:val="00453F1B"/>
    <w:rsid w:val="00454882"/>
    <w:rsid w:val="00455CFC"/>
    <w:rsid w:val="00455D52"/>
    <w:rsid w:val="004618BD"/>
    <w:rsid w:val="004634E8"/>
    <w:rsid w:val="00463FA8"/>
    <w:rsid w:val="00464304"/>
    <w:rsid w:val="00465C6A"/>
    <w:rsid w:val="00467CA7"/>
    <w:rsid w:val="004709D6"/>
    <w:rsid w:val="00473A66"/>
    <w:rsid w:val="00484510"/>
    <w:rsid w:val="004877DC"/>
    <w:rsid w:val="00494335"/>
    <w:rsid w:val="00495896"/>
    <w:rsid w:val="00495D7E"/>
    <w:rsid w:val="004A156C"/>
    <w:rsid w:val="004A6B6B"/>
    <w:rsid w:val="004B03D6"/>
    <w:rsid w:val="004B4C39"/>
    <w:rsid w:val="004B584E"/>
    <w:rsid w:val="004C1106"/>
    <w:rsid w:val="004C2CB1"/>
    <w:rsid w:val="004C358C"/>
    <w:rsid w:val="004C3D85"/>
    <w:rsid w:val="004C57C6"/>
    <w:rsid w:val="004C5948"/>
    <w:rsid w:val="004D77F7"/>
    <w:rsid w:val="004E2269"/>
    <w:rsid w:val="004E7448"/>
    <w:rsid w:val="005008A8"/>
    <w:rsid w:val="00500AA7"/>
    <w:rsid w:val="00503A51"/>
    <w:rsid w:val="005041E3"/>
    <w:rsid w:val="00504C89"/>
    <w:rsid w:val="00512309"/>
    <w:rsid w:val="005167C0"/>
    <w:rsid w:val="005224C3"/>
    <w:rsid w:val="00523A92"/>
    <w:rsid w:val="00526782"/>
    <w:rsid w:val="00535CAC"/>
    <w:rsid w:val="00537FBA"/>
    <w:rsid w:val="0054526E"/>
    <w:rsid w:val="00546095"/>
    <w:rsid w:val="0054611C"/>
    <w:rsid w:val="0054674D"/>
    <w:rsid w:val="005476B5"/>
    <w:rsid w:val="0055094B"/>
    <w:rsid w:val="00553FDE"/>
    <w:rsid w:val="0055464A"/>
    <w:rsid w:val="00554775"/>
    <w:rsid w:val="00555663"/>
    <w:rsid w:val="00560459"/>
    <w:rsid w:val="0056088A"/>
    <w:rsid w:val="00562D0C"/>
    <w:rsid w:val="005646E4"/>
    <w:rsid w:val="005649FD"/>
    <w:rsid w:val="00566ADB"/>
    <w:rsid w:val="00573B93"/>
    <w:rsid w:val="00573FD1"/>
    <w:rsid w:val="00575D3D"/>
    <w:rsid w:val="00576200"/>
    <w:rsid w:val="005831B7"/>
    <w:rsid w:val="00586148"/>
    <w:rsid w:val="00591F19"/>
    <w:rsid w:val="0059257B"/>
    <w:rsid w:val="0059429E"/>
    <w:rsid w:val="005951F7"/>
    <w:rsid w:val="005A00BF"/>
    <w:rsid w:val="005A044E"/>
    <w:rsid w:val="005A3F63"/>
    <w:rsid w:val="005B073E"/>
    <w:rsid w:val="005B1069"/>
    <w:rsid w:val="005B1DC9"/>
    <w:rsid w:val="005B227F"/>
    <w:rsid w:val="005B4AD6"/>
    <w:rsid w:val="005B65A2"/>
    <w:rsid w:val="005B7801"/>
    <w:rsid w:val="005C38F1"/>
    <w:rsid w:val="005C39C9"/>
    <w:rsid w:val="005C595E"/>
    <w:rsid w:val="005C68EB"/>
    <w:rsid w:val="005C7664"/>
    <w:rsid w:val="005D3DB7"/>
    <w:rsid w:val="005D3E42"/>
    <w:rsid w:val="005D421E"/>
    <w:rsid w:val="005D58B5"/>
    <w:rsid w:val="005D5FAE"/>
    <w:rsid w:val="005D63C7"/>
    <w:rsid w:val="005D7DC8"/>
    <w:rsid w:val="005E058F"/>
    <w:rsid w:val="005E1395"/>
    <w:rsid w:val="005E37C7"/>
    <w:rsid w:val="005E3E78"/>
    <w:rsid w:val="005E4257"/>
    <w:rsid w:val="005E4EE0"/>
    <w:rsid w:val="005E69ED"/>
    <w:rsid w:val="005F07D4"/>
    <w:rsid w:val="005F200D"/>
    <w:rsid w:val="005F29B7"/>
    <w:rsid w:val="005F30EF"/>
    <w:rsid w:val="00600D7B"/>
    <w:rsid w:val="00602ADE"/>
    <w:rsid w:val="00606EB5"/>
    <w:rsid w:val="00617FDA"/>
    <w:rsid w:val="00622097"/>
    <w:rsid w:val="0062229E"/>
    <w:rsid w:val="00626666"/>
    <w:rsid w:val="0063152B"/>
    <w:rsid w:val="00633E99"/>
    <w:rsid w:val="00634E4C"/>
    <w:rsid w:val="00634EEA"/>
    <w:rsid w:val="00636B8B"/>
    <w:rsid w:val="006427FE"/>
    <w:rsid w:val="00643244"/>
    <w:rsid w:val="006434D6"/>
    <w:rsid w:val="006435FA"/>
    <w:rsid w:val="0064429F"/>
    <w:rsid w:val="00647038"/>
    <w:rsid w:val="00647AF3"/>
    <w:rsid w:val="006506C1"/>
    <w:rsid w:val="006517BC"/>
    <w:rsid w:val="00651986"/>
    <w:rsid w:val="00651D40"/>
    <w:rsid w:val="00652EFB"/>
    <w:rsid w:val="0065508A"/>
    <w:rsid w:val="00663E0A"/>
    <w:rsid w:val="00663E8D"/>
    <w:rsid w:val="006644EB"/>
    <w:rsid w:val="00664823"/>
    <w:rsid w:val="0066674D"/>
    <w:rsid w:val="00666A78"/>
    <w:rsid w:val="00676832"/>
    <w:rsid w:val="0067732C"/>
    <w:rsid w:val="00680980"/>
    <w:rsid w:val="00680B55"/>
    <w:rsid w:val="006810C4"/>
    <w:rsid w:val="00681683"/>
    <w:rsid w:val="006832D9"/>
    <w:rsid w:val="00683CBE"/>
    <w:rsid w:val="00683E5E"/>
    <w:rsid w:val="00686022"/>
    <w:rsid w:val="0069211E"/>
    <w:rsid w:val="0069335A"/>
    <w:rsid w:val="0069375D"/>
    <w:rsid w:val="0069407C"/>
    <w:rsid w:val="0069574E"/>
    <w:rsid w:val="00696F21"/>
    <w:rsid w:val="006A1404"/>
    <w:rsid w:val="006A1EC5"/>
    <w:rsid w:val="006A3EBB"/>
    <w:rsid w:val="006B062B"/>
    <w:rsid w:val="006B4511"/>
    <w:rsid w:val="006B5580"/>
    <w:rsid w:val="006C04AD"/>
    <w:rsid w:val="006C076F"/>
    <w:rsid w:val="006C0D62"/>
    <w:rsid w:val="006C2E58"/>
    <w:rsid w:val="006C37BE"/>
    <w:rsid w:val="006C4F2F"/>
    <w:rsid w:val="006D2673"/>
    <w:rsid w:val="006D61EB"/>
    <w:rsid w:val="006D772A"/>
    <w:rsid w:val="006E4446"/>
    <w:rsid w:val="006E7E7F"/>
    <w:rsid w:val="006F145A"/>
    <w:rsid w:val="006F2520"/>
    <w:rsid w:val="006F27CB"/>
    <w:rsid w:val="006F405F"/>
    <w:rsid w:val="006F5865"/>
    <w:rsid w:val="006F676B"/>
    <w:rsid w:val="00700297"/>
    <w:rsid w:val="00703C71"/>
    <w:rsid w:val="007067F9"/>
    <w:rsid w:val="00711C71"/>
    <w:rsid w:val="0071200C"/>
    <w:rsid w:val="00713DBB"/>
    <w:rsid w:val="0071501A"/>
    <w:rsid w:val="0071583C"/>
    <w:rsid w:val="00717998"/>
    <w:rsid w:val="007202B6"/>
    <w:rsid w:val="00722255"/>
    <w:rsid w:val="00722752"/>
    <w:rsid w:val="00726730"/>
    <w:rsid w:val="00731C00"/>
    <w:rsid w:val="00731F34"/>
    <w:rsid w:val="00732A9A"/>
    <w:rsid w:val="007411D9"/>
    <w:rsid w:val="00742606"/>
    <w:rsid w:val="00742B63"/>
    <w:rsid w:val="00742E0E"/>
    <w:rsid w:val="00745161"/>
    <w:rsid w:val="00746626"/>
    <w:rsid w:val="00747055"/>
    <w:rsid w:val="0075124C"/>
    <w:rsid w:val="00755163"/>
    <w:rsid w:val="00756AAB"/>
    <w:rsid w:val="00757F63"/>
    <w:rsid w:val="007601D3"/>
    <w:rsid w:val="007645AE"/>
    <w:rsid w:val="00764663"/>
    <w:rsid w:val="00764992"/>
    <w:rsid w:val="00765B24"/>
    <w:rsid w:val="0077015F"/>
    <w:rsid w:val="007706F7"/>
    <w:rsid w:val="00775AA0"/>
    <w:rsid w:val="00776093"/>
    <w:rsid w:val="0077627F"/>
    <w:rsid w:val="0077672B"/>
    <w:rsid w:val="00780429"/>
    <w:rsid w:val="00781623"/>
    <w:rsid w:val="00782093"/>
    <w:rsid w:val="00786B39"/>
    <w:rsid w:val="007918F5"/>
    <w:rsid w:val="00793CF8"/>
    <w:rsid w:val="00796367"/>
    <w:rsid w:val="007A1D31"/>
    <w:rsid w:val="007A2AD5"/>
    <w:rsid w:val="007A2F03"/>
    <w:rsid w:val="007A4F29"/>
    <w:rsid w:val="007A5F7B"/>
    <w:rsid w:val="007B6C2F"/>
    <w:rsid w:val="007B74E7"/>
    <w:rsid w:val="007B77F1"/>
    <w:rsid w:val="007C08B1"/>
    <w:rsid w:val="007C2578"/>
    <w:rsid w:val="007C2CC2"/>
    <w:rsid w:val="007C4F14"/>
    <w:rsid w:val="007C79AA"/>
    <w:rsid w:val="007D29B1"/>
    <w:rsid w:val="007D34A4"/>
    <w:rsid w:val="007D4DC1"/>
    <w:rsid w:val="007D5B50"/>
    <w:rsid w:val="007D7516"/>
    <w:rsid w:val="007D7B2C"/>
    <w:rsid w:val="007E179A"/>
    <w:rsid w:val="007E2DC7"/>
    <w:rsid w:val="007E3C6E"/>
    <w:rsid w:val="007E525D"/>
    <w:rsid w:val="007E5461"/>
    <w:rsid w:val="007E7256"/>
    <w:rsid w:val="007F4F2B"/>
    <w:rsid w:val="007F567E"/>
    <w:rsid w:val="007F7C6F"/>
    <w:rsid w:val="00800FD5"/>
    <w:rsid w:val="00802EA1"/>
    <w:rsid w:val="008054B2"/>
    <w:rsid w:val="00806408"/>
    <w:rsid w:val="00811689"/>
    <w:rsid w:val="008146F7"/>
    <w:rsid w:val="00815091"/>
    <w:rsid w:val="00816156"/>
    <w:rsid w:val="00816731"/>
    <w:rsid w:val="00822925"/>
    <w:rsid w:val="00824102"/>
    <w:rsid w:val="00824E53"/>
    <w:rsid w:val="00827E2A"/>
    <w:rsid w:val="008317DE"/>
    <w:rsid w:val="00831FF6"/>
    <w:rsid w:val="00832F86"/>
    <w:rsid w:val="00835B47"/>
    <w:rsid w:val="00842A29"/>
    <w:rsid w:val="00845843"/>
    <w:rsid w:val="00846556"/>
    <w:rsid w:val="00847EC8"/>
    <w:rsid w:val="00850588"/>
    <w:rsid w:val="00850B04"/>
    <w:rsid w:val="00853CA3"/>
    <w:rsid w:val="00854227"/>
    <w:rsid w:val="00855E0A"/>
    <w:rsid w:val="00860BDB"/>
    <w:rsid w:val="00860D35"/>
    <w:rsid w:val="00861462"/>
    <w:rsid w:val="008621F2"/>
    <w:rsid w:val="008637EC"/>
    <w:rsid w:val="00865B13"/>
    <w:rsid w:val="00866A63"/>
    <w:rsid w:val="00870BC6"/>
    <w:rsid w:val="00872595"/>
    <w:rsid w:val="00875296"/>
    <w:rsid w:val="008763F5"/>
    <w:rsid w:val="00876ACC"/>
    <w:rsid w:val="00876D0D"/>
    <w:rsid w:val="008822F9"/>
    <w:rsid w:val="0088286D"/>
    <w:rsid w:val="00884306"/>
    <w:rsid w:val="008844D0"/>
    <w:rsid w:val="00885A14"/>
    <w:rsid w:val="00886727"/>
    <w:rsid w:val="0088689B"/>
    <w:rsid w:val="00890FA0"/>
    <w:rsid w:val="00892992"/>
    <w:rsid w:val="00896488"/>
    <w:rsid w:val="008A214D"/>
    <w:rsid w:val="008A2568"/>
    <w:rsid w:val="008A30F7"/>
    <w:rsid w:val="008A3CCD"/>
    <w:rsid w:val="008A4326"/>
    <w:rsid w:val="008A467A"/>
    <w:rsid w:val="008A4D29"/>
    <w:rsid w:val="008A72D2"/>
    <w:rsid w:val="008A733E"/>
    <w:rsid w:val="008A7F55"/>
    <w:rsid w:val="008B0AFC"/>
    <w:rsid w:val="008B40E4"/>
    <w:rsid w:val="008B57F3"/>
    <w:rsid w:val="008B6868"/>
    <w:rsid w:val="008C0024"/>
    <w:rsid w:val="008C1353"/>
    <w:rsid w:val="008C1BD0"/>
    <w:rsid w:val="008C1D92"/>
    <w:rsid w:val="008C2073"/>
    <w:rsid w:val="008C2DC6"/>
    <w:rsid w:val="008C6A43"/>
    <w:rsid w:val="008D080C"/>
    <w:rsid w:val="008D2EF9"/>
    <w:rsid w:val="008D3824"/>
    <w:rsid w:val="008D5D12"/>
    <w:rsid w:val="008D706E"/>
    <w:rsid w:val="008D7435"/>
    <w:rsid w:val="008E1B71"/>
    <w:rsid w:val="008E20F3"/>
    <w:rsid w:val="008E21F5"/>
    <w:rsid w:val="008E5348"/>
    <w:rsid w:val="008E5B28"/>
    <w:rsid w:val="008E77A4"/>
    <w:rsid w:val="008E7955"/>
    <w:rsid w:val="008F1DA0"/>
    <w:rsid w:val="008F2D54"/>
    <w:rsid w:val="00901261"/>
    <w:rsid w:val="00906799"/>
    <w:rsid w:val="00906ED0"/>
    <w:rsid w:val="00910A9B"/>
    <w:rsid w:val="00912853"/>
    <w:rsid w:val="00914652"/>
    <w:rsid w:val="0092048E"/>
    <w:rsid w:val="00920A6D"/>
    <w:rsid w:val="00922126"/>
    <w:rsid w:val="00922617"/>
    <w:rsid w:val="00924152"/>
    <w:rsid w:val="009264BC"/>
    <w:rsid w:val="00931235"/>
    <w:rsid w:val="00931604"/>
    <w:rsid w:val="0093194D"/>
    <w:rsid w:val="00934C3F"/>
    <w:rsid w:val="00937AF9"/>
    <w:rsid w:val="00937F19"/>
    <w:rsid w:val="009417AE"/>
    <w:rsid w:val="00941EC3"/>
    <w:rsid w:val="009422C0"/>
    <w:rsid w:val="0094253E"/>
    <w:rsid w:val="00942DC5"/>
    <w:rsid w:val="009436F5"/>
    <w:rsid w:val="00943F0D"/>
    <w:rsid w:val="00943F1B"/>
    <w:rsid w:val="009440BC"/>
    <w:rsid w:val="00945422"/>
    <w:rsid w:val="009467B8"/>
    <w:rsid w:val="00947351"/>
    <w:rsid w:val="009501D0"/>
    <w:rsid w:val="00951D30"/>
    <w:rsid w:val="00952776"/>
    <w:rsid w:val="00952D4C"/>
    <w:rsid w:val="00952FAE"/>
    <w:rsid w:val="00953244"/>
    <w:rsid w:val="009559C2"/>
    <w:rsid w:val="00957857"/>
    <w:rsid w:val="009606F2"/>
    <w:rsid w:val="00966ED0"/>
    <w:rsid w:val="00967C08"/>
    <w:rsid w:val="00970305"/>
    <w:rsid w:val="0097115B"/>
    <w:rsid w:val="00971D3C"/>
    <w:rsid w:val="00972DDF"/>
    <w:rsid w:val="00973281"/>
    <w:rsid w:val="00980285"/>
    <w:rsid w:val="00983402"/>
    <w:rsid w:val="009850DE"/>
    <w:rsid w:val="00985148"/>
    <w:rsid w:val="00986D48"/>
    <w:rsid w:val="0099044B"/>
    <w:rsid w:val="00992997"/>
    <w:rsid w:val="00992F38"/>
    <w:rsid w:val="009941AB"/>
    <w:rsid w:val="00994342"/>
    <w:rsid w:val="0099453B"/>
    <w:rsid w:val="009979F4"/>
    <w:rsid w:val="009A02D2"/>
    <w:rsid w:val="009A21D2"/>
    <w:rsid w:val="009A45B2"/>
    <w:rsid w:val="009A7B10"/>
    <w:rsid w:val="009B25FB"/>
    <w:rsid w:val="009B2BFE"/>
    <w:rsid w:val="009B3272"/>
    <w:rsid w:val="009B3A98"/>
    <w:rsid w:val="009B4A85"/>
    <w:rsid w:val="009B7D7B"/>
    <w:rsid w:val="009C6BE7"/>
    <w:rsid w:val="009D05BE"/>
    <w:rsid w:val="009D05EC"/>
    <w:rsid w:val="009D06DB"/>
    <w:rsid w:val="009D0BFD"/>
    <w:rsid w:val="009D2DDD"/>
    <w:rsid w:val="009D4581"/>
    <w:rsid w:val="009E0769"/>
    <w:rsid w:val="009E137F"/>
    <w:rsid w:val="009E7F8C"/>
    <w:rsid w:val="009F091B"/>
    <w:rsid w:val="009F2E04"/>
    <w:rsid w:val="009F31DD"/>
    <w:rsid w:val="009F3516"/>
    <w:rsid w:val="009F39AA"/>
    <w:rsid w:val="009F48BE"/>
    <w:rsid w:val="00A03306"/>
    <w:rsid w:val="00A0337C"/>
    <w:rsid w:val="00A101D1"/>
    <w:rsid w:val="00A1282C"/>
    <w:rsid w:val="00A14A32"/>
    <w:rsid w:val="00A219B4"/>
    <w:rsid w:val="00A21B18"/>
    <w:rsid w:val="00A33802"/>
    <w:rsid w:val="00A3489C"/>
    <w:rsid w:val="00A37DDC"/>
    <w:rsid w:val="00A37E51"/>
    <w:rsid w:val="00A44B89"/>
    <w:rsid w:val="00A46C89"/>
    <w:rsid w:val="00A5216D"/>
    <w:rsid w:val="00A60786"/>
    <w:rsid w:val="00A62D31"/>
    <w:rsid w:val="00A670E5"/>
    <w:rsid w:val="00A67B81"/>
    <w:rsid w:val="00A70C57"/>
    <w:rsid w:val="00A70C91"/>
    <w:rsid w:val="00A71E19"/>
    <w:rsid w:val="00A723A7"/>
    <w:rsid w:val="00A739C6"/>
    <w:rsid w:val="00A77003"/>
    <w:rsid w:val="00A80CC4"/>
    <w:rsid w:val="00A81854"/>
    <w:rsid w:val="00A83A16"/>
    <w:rsid w:val="00A9019B"/>
    <w:rsid w:val="00A90E42"/>
    <w:rsid w:val="00A92913"/>
    <w:rsid w:val="00A96741"/>
    <w:rsid w:val="00A97E3B"/>
    <w:rsid w:val="00AA47FC"/>
    <w:rsid w:val="00AA5F77"/>
    <w:rsid w:val="00AB039E"/>
    <w:rsid w:val="00AB4DD8"/>
    <w:rsid w:val="00AB5236"/>
    <w:rsid w:val="00AB5F2D"/>
    <w:rsid w:val="00AB74D4"/>
    <w:rsid w:val="00AC2DF9"/>
    <w:rsid w:val="00AC5B0F"/>
    <w:rsid w:val="00AD20D8"/>
    <w:rsid w:val="00AD2E42"/>
    <w:rsid w:val="00AD3C8D"/>
    <w:rsid w:val="00AD7AB0"/>
    <w:rsid w:val="00AE1517"/>
    <w:rsid w:val="00AE244E"/>
    <w:rsid w:val="00AE46A2"/>
    <w:rsid w:val="00AE6A5F"/>
    <w:rsid w:val="00AE6C99"/>
    <w:rsid w:val="00AF0833"/>
    <w:rsid w:val="00AF129F"/>
    <w:rsid w:val="00AF19BA"/>
    <w:rsid w:val="00AF5AC7"/>
    <w:rsid w:val="00AF74B3"/>
    <w:rsid w:val="00AF7A2D"/>
    <w:rsid w:val="00B024B3"/>
    <w:rsid w:val="00B0257C"/>
    <w:rsid w:val="00B040EE"/>
    <w:rsid w:val="00B04A32"/>
    <w:rsid w:val="00B06677"/>
    <w:rsid w:val="00B101FD"/>
    <w:rsid w:val="00B111E1"/>
    <w:rsid w:val="00B1177C"/>
    <w:rsid w:val="00B11A32"/>
    <w:rsid w:val="00B12DC9"/>
    <w:rsid w:val="00B13F84"/>
    <w:rsid w:val="00B14725"/>
    <w:rsid w:val="00B14DC1"/>
    <w:rsid w:val="00B15ABA"/>
    <w:rsid w:val="00B15AD1"/>
    <w:rsid w:val="00B24830"/>
    <w:rsid w:val="00B2553F"/>
    <w:rsid w:val="00B268FE"/>
    <w:rsid w:val="00B27477"/>
    <w:rsid w:val="00B377A1"/>
    <w:rsid w:val="00B42B2F"/>
    <w:rsid w:val="00B472E1"/>
    <w:rsid w:val="00B53C0C"/>
    <w:rsid w:val="00B57FCB"/>
    <w:rsid w:val="00B600AB"/>
    <w:rsid w:val="00B619C4"/>
    <w:rsid w:val="00B625FC"/>
    <w:rsid w:val="00B64400"/>
    <w:rsid w:val="00B65119"/>
    <w:rsid w:val="00B70FB6"/>
    <w:rsid w:val="00B71170"/>
    <w:rsid w:val="00B71F29"/>
    <w:rsid w:val="00B75770"/>
    <w:rsid w:val="00B75EDB"/>
    <w:rsid w:val="00B77A3E"/>
    <w:rsid w:val="00B82C87"/>
    <w:rsid w:val="00B841F8"/>
    <w:rsid w:val="00B85D7B"/>
    <w:rsid w:val="00B85F3A"/>
    <w:rsid w:val="00B872D3"/>
    <w:rsid w:val="00B900EA"/>
    <w:rsid w:val="00B91069"/>
    <w:rsid w:val="00B947BE"/>
    <w:rsid w:val="00B96233"/>
    <w:rsid w:val="00B96978"/>
    <w:rsid w:val="00B977EC"/>
    <w:rsid w:val="00B97DAB"/>
    <w:rsid w:val="00BA2E26"/>
    <w:rsid w:val="00BA7697"/>
    <w:rsid w:val="00BA7F6E"/>
    <w:rsid w:val="00BB0FCE"/>
    <w:rsid w:val="00BB1F6A"/>
    <w:rsid w:val="00BB2C86"/>
    <w:rsid w:val="00BB4A2B"/>
    <w:rsid w:val="00BB76A5"/>
    <w:rsid w:val="00BC0068"/>
    <w:rsid w:val="00BC0D4F"/>
    <w:rsid w:val="00BC1F0F"/>
    <w:rsid w:val="00BC3957"/>
    <w:rsid w:val="00BC6728"/>
    <w:rsid w:val="00BC6A1E"/>
    <w:rsid w:val="00BD16D5"/>
    <w:rsid w:val="00BD6839"/>
    <w:rsid w:val="00BE1995"/>
    <w:rsid w:val="00BE1FA6"/>
    <w:rsid w:val="00BE4BF2"/>
    <w:rsid w:val="00BE6E85"/>
    <w:rsid w:val="00BF0D3B"/>
    <w:rsid w:val="00BF6127"/>
    <w:rsid w:val="00C00FDA"/>
    <w:rsid w:val="00C02AA9"/>
    <w:rsid w:val="00C03633"/>
    <w:rsid w:val="00C04C02"/>
    <w:rsid w:val="00C04E4B"/>
    <w:rsid w:val="00C058ED"/>
    <w:rsid w:val="00C1114C"/>
    <w:rsid w:val="00C136AC"/>
    <w:rsid w:val="00C1388C"/>
    <w:rsid w:val="00C14BB4"/>
    <w:rsid w:val="00C206BC"/>
    <w:rsid w:val="00C217CE"/>
    <w:rsid w:val="00C21F2D"/>
    <w:rsid w:val="00C33618"/>
    <w:rsid w:val="00C3391A"/>
    <w:rsid w:val="00C33995"/>
    <w:rsid w:val="00C34A91"/>
    <w:rsid w:val="00C355F0"/>
    <w:rsid w:val="00C45716"/>
    <w:rsid w:val="00C52C46"/>
    <w:rsid w:val="00C55FC2"/>
    <w:rsid w:val="00C62250"/>
    <w:rsid w:val="00C62BF5"/>
    <w:rsid w:val="00C636DA"/>
    <w:rsid w:val="00C654F9"/>
    <w:rsid w:val="00C72271"/>
    <w:rsid w:val="00C828FE"/>
    <w:rsid w:val="00C83063"/>
    <w:rsid w:val="00C87141"/>
    <w:rsid w:val="00C975AF"/>
    <w:rsid w:val="00C97FE6"/>
    <w:rsid w:val="00CA50B7"/>
    <w:rsid w:val="00CA5A2B"/>
    <w:rsid w:val="00CA6FF9"/>
    <w:rsid w:val="00CB2A82"/>
    <w:rsid w:val="00CB3D3C"/>
    <w:rsid w:val="00CB40CD"/>
    <w:rsid w:val="00CB4238"/>
    <w:rsid w:val="00CB6E41"/>
    <w:rsid w:val="00CB7AF2"/>
    <w:rsid w:val="00CC1D16"/>
    <w:rsid w:val="00CC34EB"/>
    <w:rsid w:val="00CC3C21"/>
    <w:rsid w:val="00CC3DAE"/>
    <w:rsid w:val="00CC66EA"/>
    <w:rsid w:val="00CD4EFA"/>
    <w:rsid w:val="00CD5CA4"/>
    <w:rsid w:val="00CD7357"/>
    <w:rsid w:val="00CE0773"/>
    <w:rsid w:val="00CE2E48"/>
    <w:rsid w:val="00CE38FF"/>
    <w:rsid w:val="00CE3CD0"/>
    <w:rsid w:val="00CF2DB6"/>
    <w:rsid w:val="00CF68A8"/>
    <w:rsid w:val="00D021F7"/>
    <w:rsid w:val="00D0395A"/>
    <w:rsid w:val="00D078A2"/>
    <w:rsid w:val="00D10341"/>
    <w:rsid w:val="00D10F59"/>
    <w:rsid w:val="00D12A5C"/>
    <w:rsid w:val="00D14532"/>
    <w:rsid w:val="00D148A7"/>
    <w:rsid w:val="00D15BE9"/>
    <w:rsid w:val="00D22ED4"/>
    <w:rsid w:val="00D22FCE"/>
    <w:rsid w:val="00D23200"/>
    <w:rsid w:val="00D24405"/>
    <w:rsid w:val="00D25826"/>
    <w:rsid w:val="00D30BCA"/>
    <w:rsid w:val="00D31816"/>
    <w:rsid w:val="00D35A96"/>
    <w:rsid w:val="00D42AE7"/>
    <w:rsid w:val="00D43075"/>
    <w:rsid w:val="00D436B0"/>
    <w:rsid w:val="00D44C7D"/>
    <w:rsid w:val="00D461C2"/>
    <w:rsid w:val="00D47287"/>
    <w:rsid w:val="00D5084E"/>
    <w:rsid w:val="00D50AFB"/>
    <w:rsid w:val="00D50B99"/>
    <w:rsid w:val="00D52235"/>
    <w:rsid w:val="00D60A99"/>
    <w:rsid w:val="00D61AAE"/>
    <w:rsid w:val="00D62207"/>
    <w:rsid w:val="00D63D83"/>
    <w:rsid w:val="00D65652"/>
    <w:rsid w:val="00D65EC7"/>
    <w:rsid w:val="00D73773"/>
    <w:rsid w:val="00D74052"/>
    <w:rsid w:val="00D77CF2"/>
    <w:rsid w:val="00D80EC7"/>
    <w:rsid w:val="00D85866"/>
    <w:rsid w:val="00D86944"/>
    <w:rsid w:val="00D8734F"/>
    <w:rsid w:val="00D916E2"/>
    <w:rsid w:val="00D92012"/>
    <w:rsid w:val="00D94C0B"/>
    <w:rsid w:val="00DA103E"/>
    <w:rsid w:val="00DA4C48"/>
    <w:rsid w:val="00DA7023"/>
    <w:rsid w:val="00DA727D"/>
    <w:rsid w:val="00DA7DE8"/>
    <w:rsid w:val="00DB023A"/>
    <w:rsid w:val="00DB0AA5"/>
    <w:rsid w:val="00DB2D67"/>
    <w:rsid w:val="00DB53A7"/>
    <w:rsid w:val="00DB65D3"/>
    <w:rsid w:val="00DB7954"/>
    <w:rsid w:val="00DB7D5D"/>
    <w:rsid w:val="00DC0F23"/>
    <w:rsid w:val="00DD0414"/>
    <w:rsid w:val="00DD170F"/>
    <w:rsid w:val="00DD1DF6"/>
    <w:rsid w:val="00DD3559"/>
    <w:rsid w:val="00DD522F"/>
    <w:rsid w:val="00DE0A8A"/>
    <w:rsid w:val="00DE4E70"/>
    <w:rsid w:val="00DE7D12"/>
    <w:rsid w:val="00DF1296"/>
    <w:rsid w:val="00DF2E91"/>
    <w:rsid w:val="00DF2F7D"/>
    <w:rsid w:val="00DF6E54"/>
    <w:rsid w:val="00DF6F52"/>
    <w:rsid w:val="00DF7596"/>
    <w:rsid w:val="00E02757"/>
    <w:rsid w:val="00E040B7"/>
    <w:rsid w:val="00E04228"/>
    <w:rsid w:val="00E04BBC"/>
    <w:rsid w:val="00E059FB"/>
    <w:rsid w:val="00E0681E"/>
    <w:rsid w:val="00E07455"/>
    <w:rsid w:val="00E12058"/>
    <w:rsid w:val="00E159D7"/>
    <w:rsid w:val="00E15D04"/>
    <w:rsid w:val="00E17DEA"/>
    <w:rsid w:val="00E21653"/>
    <w:rsid w:val="00E232CE"/>
    <w:rsid w:val="00E23FF7"/>
    <w:rsid w:val="00E2414E"/>
    <w:rsid w:val="00E26A94"/>
    <w:rsid w:val="00E3114B"/>
    <w:rsid w:val="00E31761"/>
    <w:rsid w:val="00E37FB8"/>
    <w:rsid w:val="00E41B63"/>
    <w:rsid w:val="00E428AE"/>
    <w:rsid w:val="00E43417"/>
    <w:rsid w:val="00E47D6C"/>
    <w:rsid w:val="00E52915"/>
    <w:rsid w:val="00E52B99"/>
    <w:rsid w:val="00E532B2"/>
    <w:rsid w:val="00E5615A"/>
    <w:rsid w:val="00E569D9"/>
    <w:rsid w:val="00E6032B"/>
    <w:rsid w:val="00E60A5C"/>
    <w:rsid w:val="00E61A68"/>
    <w:rsid w:val="00E63EBE"/>
    <w:rsid w:val="00E71C55"/>
    <w:rsid w:val="00E7257D"/>
    <w:rsid w:val="00E75569"/>
    <w:rsid w:val="00E75A9B"/>
    <w:rsid w:val="00E81157"/>
    <w:rsid w:val="00E84A6B"/>
    <w:rsid w:val="00E878DC"/>
    <w:rsid w:val="00E92385"/>
    <w:rsid w:val="00E926C3"/>
    <w:rsid w:val="00E944AC"/>
    <w:rsid w:val="00E96C98"/>
    <w:rsid w:val="00E96DEA"/>
    <w:rsid w:val="00EA48AE"/>
    <w:rsid w:val="00EA4910"/>
    <w:rsid w:val="00EA5765"/>
    <w:rsid w:val="00EB04E7"/>
    <w:rsid w:val="00EB4101"/>
    <w:rsid w:val="00EB5967"/>
    <w:rsid w:val="00EB64EE"/>
    <w:rsid w:val="00EB6FC5"/>
    <w:rsid w:val="00EB7F03"/>
    <w:rsid w:val="00EC2DB8"/>
    <w:rsid w:val="00EC46F8"/>
    <w:rsid w:val="00EC514B"/>
    <w:rsid w:val="00EC6409"/>
    <w:rsid w:val="00EC7737"/>
    <w:rsid w:val="00EC7801"/>
    <w:rsid w:val="00ED030E"/>
    <w:rsid w:val="00ED194C"/>
    <w:rsid w:val="00ED25F7"/>
    <w:rsid w:val="00ED268B"/>
    <w:rsid w:val="00ED26C5"/>
    <w:rsid w:val="00ED3C38"/>
    <w:rsid w:val="00EE1880"/>
    <w:rsid w:val="00EE33B0"/>
    <w:rsid w:val="00EE3EC4"/>
    <w:rsid w:val="00EE6A72"/>
    <w:rsid w:val="00EE728D"/>
    <w:rsid w:val="00EF0974"/>
    <w:rsid w:val="00EF2A15"/>
    <w:rsid w:val="00EF56DF"/>
    <w:rsid w:val="00EF5BFD"/>
    <w:rsid w:val="00EF6DE3"/>
    <w:rsid w:val="00F001E9"/>
    <w:rsid w:val="00F00BE1"/>
    <w:rsid w:val="00F02D8F"/>
    <w:rsid w:val="00F03899"/>
    <w:rsid w:val="00F04C92"/>
    <w:rsid w:val="00F054A9"/>
    <w:rsid w:val="00F14D88"/>
    <w:rsid w:val="00F15EAA"/>
    <w:rsid w:val="00F213B3"/>
    <w:rsid w:val="00F21E08"/>
    <w:rsid w:val="00F26B7E"/>
    <w:rsid w:val="00F3352F"/>
    <w:rsid w:val="00F33B27"/>
    <w:rsid w:val="00F34D63"/>
    <w:rsid w:val="00F34F65"/>
    <w:rsid w:val="00F37A7E"/>
    <w:rsid w:val="00F40C6F"/>
    <w:rsid w:val="00F42A0B"/>
    <w:rsid w:val="00F45333"/>
    <w:rsid w:val="00F55362"/>
    <w:rsid w:val="00F63175"/>
    <w:rsid w:val="00F665CF"/>
    <w:rsid w:val="00F66D7F"/>
    <w:rsid w:val="00F7015B"/>
    <w:rsid w:val="00F72CDD"/>
    <w:rsid w:val="00F7495C"/>
    <w:rsid w:val="00F74EC0"/>
    <w:rsid w:val="00F76C98"/>
    <w:rsid w:val="00F771C9"/>
    <w:rsid w:val="00F80750"/>
    <w:rsid w:val="00F82C4F"/>
    <w:rsid w:val="00F83647"/>
    <w:rsid w:val="00F85EFD"/>
    <w:rsid w:val="00F85F59"/>
    <w:rsid w:val="00F86687"/>
    <w:rsid w:val="00F866DC"/>
    <w:rsid w:val="00F86DD4"/>
    <w:rsid w:val="00F90A33"/>
    <w:rsid w:val="00FA1047"/>
    <w:rsid w:val="00FA7689"/>
    <w:rsid w:val="00FA7A6D"/>
    <w:rsid w:val="00FB2AB5"/>
    <w:rsid w:val="00FB3C79"/>
    <w:rsid w:val="00FB4CF2"/>
    <w:rsid w:val="00FB7223"/>
    <w:rsid w:val="00FB76F7"/>
    <w:rsid w:val="00FC1CAF"/>
    <w:rsid w:val="00FC1CC3"/>
    <w:rsid w:val="00FC5117"/>
    <w:rsid w:val="00FC766E"/>
    <w:rsid w:val="00FD0408"/>
    <w:rsid w:val="00FD0626"/>
    <w:rsid w:val="00FD7908"/>
    <w:rsid w:val="00FE0006"/>
    <w:rsid w:val="00FE07A5"/>
    <w:rsid w:val="00FE200A"/>
    <w:rsid w:val="00FE4022"/>
    <w:rsid w:val="00FE4C16"/>
    <w:rsid w:val="00FE4C9E"/>
    <w:rsid w:val="00FE4E72"/>
    <w:rsid w:val="00FE6FEB"/>
    <w:rsid w:val="00FF1F6E"/>
    <w:rsid w:val="00FF40D8"/>
    <w:rsid w:val="00FF499E"/>
    <w:rsid w:val="00FF5AEB"/>
    <w:rsid w:val="00FF72F7"/>
    <w:rsid w:val="00FF751F"/>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colormru v:ext="edit" colors="#0051ba,#ffc61e,#b3d4ff,#e1eeff"/>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rbel" w:eastAsiaTheme="minorHAnsi" w:hAnsi="Corbel" w:cstheme="minorBidi"/>
        <w:sz w:val="22"/>
        <w:szCs w:val="22"/>
        <w:lang w:val="en-AU" w:eastAsia="en-US" w:bidi="ar-SA"/>
      </w:rPr>
    </w:rPrDefault>
    <w:pPrDefault>
      <w:pPr>
        <w:spacing w:before="180" w:after="60" w:line="276" w:lineRule="auto"/>
      </w:pPr>
    </w:pPrDefault>
  </w:docDefaults>
  <w:latentStyles w:defLockedState="1" w:defUIPriority="99" w:defSemiHidden="1" w:defUnhideWhenUsed="1" w:defQFormat="0" w:count="267">
    <w:lsdException w:name="Normal" w:locked="0" w:semiHidden="0" w:uiPriority="0" w:unhideWhenUsed="0" w:qFormat="1"/>
    <w:lsdException w:name="heading 1" w:semiHidden="0" w:uiPriority="0" w:unhideWhenUsed="0" w:qFormat="1"/>
    <w:lsdException w:name="heading 2" w:uiPriority="0" w:qFormat="1"/>
    <w:lsdException w:name="heading 3" w:uiPriority="0" w:qFormat="1"/>
    <w:lsdException w:name="heading 4" w:locked="0" w:uiPriority="0" w:qFormat="1"/>
    <w:lsdException w:name="heading 5" w:uiPriority="0" w:unhideWhenUsed="0" w:qFormat="1"/>
    <w:lsdException w:name="heading 6" w:uiPriority="0" w:qFormat="1"/>
    <w:lsdException w:name="heading 7" w:uiPriority="0" w:qFormat="1"/>
    <w:lsdException w:name="heading 8" w:uiPriority="0" w:qFormat="1"/>
    <w:lsdException w:name="heading 9" w:uiPriority="0"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locked="0" w:semiHidden="0" w:uiPriority="0"/>
    <w:lsdException w:name="header" w:locked="0" w:semiHidden="0" w:uiPriority="0"/>
    <w:lsdException w:name="footer" w:locked="0" w:semiHidden="0"/>
    <w:lsdException w:name="caption" w:semiHidden="0" w:uiPriority="35" w:qFormat="1"/>
    <w:lsdException w:name="footnote reference" w:locked="0" w:semiHidden="0"/>
    <w:lsdException w:name="endnote reference" w:locked="0" w:semiHidden="0"/>
    <w:lsdException w:name="endnote text" w:locked="0" w:semiHidden="0"/>
    <w:lsdException w:name="List Bullet" w:semiHidden="0" w:uiPriority="0" w:qFormat="1"/>
    <w:lsdException w:name="List Number" w:semiHidden="0" w:unhideWhenUsed="0" w:qFormat="1"/>
    <w:lsdException w:name="List Bullet 2" w:semiHidden="0" w:uiPriority="14" w:qFormat="1"/>
    <w:lsdException w:name="List Bullet 3" w:unhideWhenUsed="0" w:qFormat="1"/>
    <w:lsdException w:name="List Bullet 4" w:unhideWhenUsed="0" w:qFormat="1"/>
    <w:lsdException w:name="List Number 2" w:semiHidden="0" w:uiPriority="15" w:qFormat="1"/>
    <w:lsdException w:name="List Number 3" w:semiHidden="0" w:qFormat="1"/>
    <w:lsdException w:name="List Number 4" w:semiHidden="0" w:qFormat="1"/>
    <w:lsdException w:name="Title" w:semiHidden="0" w:uiPriority="11" w:unhideWhenUsed="0" w:qFormat="1"/>
    <w:lsdException w:name="Default Paragraph Font" w:locked="0" w:uiPriority="1"/>
    <w:lsdException w:name="Subtitle" w:uiPriority="11" w:qFormat="1"/>
    <w:lsdException w:name="Hyperlink" w:locked="0"/>
    <w:lsdException w:name="FollowedHyperlink" w:locked="0" w:semiHidden="0"/>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List 1" w:locked="0"/>
    <w:lsdException w:name="Table List 2" w:locked="0"/>
    <w:lsdException w:name="Table Grid" w:semiHidden="0" w:uiPriority="59"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qFormat="1"/>
  </w:latentStyles>
  <w:style w:type="paragraph" w:default="1" w:styleId="Normal">
    <w:name w:val="Normal"/>
    <w:qFormat/>
    <w:rsid w:val="00D73773"/>
  </w:style>
  <w:style w:type="paragraph" w:styleId="Heading1">
    <w:name w:val="heading 1"/>
    <w:aliases w:val="Seminar,h1,B1,No numbers,H1,69%,Attribute Heading 1,1.,Main Heading,Head1,Heading apps,Section Heading,H-1,Bullet,b1,Body1"/>
    <w:basedOn w:val="Normal"/>
    <w:next w:val="Normal"/>
    <w:link w:val="Heading1Char"/>
    <w:unhideWhenUsed/>
    <w:qFormat/>
    <w:rsid w:val="00546095"/>
    <w:pPr>
      <w:keepNext/>
      <w:keepLines/>
      <w:pageBreakBefore/>
      <w:numPr>
        <w:ilvl w:val="1"/>
        <w:numId w:val="17"/>
      </w:numPr>
      <w:spacing w:before="480" w:after="600" w:line="240" w:lineRule="auto"/>
      <w:outlineLvl w:val="0"/>
    </w:pPr>
    <w:rPr>
      <w:rFonts w:eastAsiaTheme="majorEastAsia" w:cstheme="majorBidi"/>
      <w:bCs/>
      <w:color w:val="0051BA" w:themeColor="accent1"/>
      <w:sz w:val="48"/>
      <w:szCs w:val="28"/>
    </w:rPr>
  </w:style>
  <w:style w:type="paragraph" w:styleId="Heading2">
    <w:name w:val="heading 2"/>
    <w:aliases w:val="H-2,headline,h,2 headline,h2"/>
    <w:basedOn w:val="Normal"/>
    <w:next w:val="Normal"/>
    <w:link w:val="Heading2Char"/>
    <w:unhideWhenUsed/>
    <w:qFormat/>
    <w:rsid w:val="008317DE"/>
    <w:pPr>
      <w:keepNext/>
      <w:keepLines/>
      <w:numPr>
        <w:ilvl w:val="2"/>
        <w:numId w:val="17"/>
      </w:numPr>
      <w:spacing w:before="360" w:after="120" w:line="240" w:lineRule="auto"/>
      <w:outlineLvl w:val="1"/>
    </w:pPr>
    <w:rPr>
      <w:rFonts w:asciiTheme="minorHAnsi" w:eastAsiaTheme="majorEastAsia" w:hAnsiTheme="minorHAnsi" w:cstheme="majorBidi"/>
      <w:bCs/>
      <w:color w:val="0051BA" w:themeColor="accent1"/>
      <w:sz w:val="26"/>
      <w:szCs w:val="26"/>
    </w:rPr>
  </w:style>
  <w:style w:type="paragraph" w:styleId="Heading3">
    <w:name w:val="heading 3"/>
    <w:aliases w:val="H-3,Head 3,Head 31,h3"/>
    <w:basedOn w:val="Normal"/>
    <w:link w:val="Heading3Char"/>
    <w:qFormat/>
    <w:rsid w:val="008317DE"/>
    <w:pPr>
      <w:keepNext/>
      <w:keepLines/>
      <w:numPr>
        <w:ilvl w:val="3"/>
        <w:numId w:val="17"/>
      </w:numPr>
      <w:spacing w:before="240" w:after="120" w:line="240" w:lineRule="auto"/>
      <w:outlineLvl w:val="2"/>
    </w:pPr>
    <w:rPr>
      <w:rFonts w:eastAsiaTheme="majorEastAsia" w:cstheme="majorBidi"/>
      <w:bCs/>
      <w:color w:val="0051BA" w:themeColor="accent1"/>
      <w:sz w:val="24"/>
    </w:rPr>
  </w:style>
  <w:style w:type="paragraph" w:styleId="Heading4">
    <w:name w:val="heading 4"/>
    <w:aliases w:val="Heading 4 Sub Heading,(Sub Heading)"/>
    <w:basedOn w:val="Normal"/>
    <w:link w:val="Heading4Char"/>
    <w:qFormat/>
    <w:rsid w:val="001343E9"/>
    <w:pPr>
      <w:keepNext/>
      <w:keepLines/>
      <w:numPr>
        <w:ilvl w:val="4"/>
        <w:numId w:val="17"/>
      </w:numPr>
      <w:spacing w:before="240" w:after="120" w:line="240" w:lineRule="auto"/>
      <w:outlineLvl w:val="3"/>
    </w:pPr>
    <w:rPr>
      <w:rFonts w:asciiTheme="minorHAnsi" w:eastAsiaTheme="majorEastAsia" w:hAnsiTheme="minorHAnsi" w:cstheme="majorBidi"/>
      <w:bCs/>
      <w:i/>
      <w:iCs/>
      <w:color w:val="0051BA" w:themeColor="accent1"/>
    </w:rPr>
  </w:style>
  <w:style w:type="paragraph" w:styleId="Heading5">
    <w:name w:val="heading 5"/>
    <w:basedOn w:val="Normal"/>
    <w:next w:val="Normal"/>
    <w:link w:val="Heading5Char"/>
    <w:uiPriority w:val="9"/>
    <w:semiHidden/>
    <w:qFormat/>
    <w:locked/>
    <w:rsid w:val="00F80750"/>
    <w:pPr>
      <w:keepNext/>
      <w:keepLines/>
      <w:spacing w:before="200" w:after="0"/>
      <w:outlineLvl w:val="4"/>
    </w:pPr>
    <w:rPr>
      <w:rFonts w:asciiTheme="majorHAnsi" w:eastAsiaTheme="majorEastAsia" w:hAnsiTheme="majorHAnsi" w:cstheme="majorBidi"/>
      <w:color w:val="00285C" w:themeColor="accent1" w:themeShade="7F"/>
    </w:rPr>
  </w:style>
  <w:style w:type="paragraph" w:styleId="Heading6">
    <w:name w:val="heading 6"/>
    <w:basedOn w:val="Normal"/>
    <w:next w:val="Normal"/>
    <w:link w:val="Heading6Char"/>
    <w:uiPriority w:val="9"/>
    <w:semiHidden/>
    <w:qFormat/>
    <w:locked/>
    <w:rsid w:val="00F80750"/>
    <w:pPr>
      <w:keepNext/>
      <w:keepLines/>
      <w:spacing w:before="200" w:after="0"/>
      <w:outlineLvl w:val="5"/>
    </w:pPr>
    <w:rPr>
      <w:rFonts w:asciiTheme="majorHAnsi" w:eastAsiaTheme="majorEastAsia" w:hAnsiTheme="majorHAnsi" w:cstheme="majorBidi"/>
      <w:i/>
      <w:iCs/>
      <w:color w:val="00285C" w:themeColor="accent1" w:themeShade="7F"/>
    </w:rPr>
  </w:style>
  <w:style w:type="paragraph" w:styleId="Heading7">
    <w:name w:val="heading 7"/>
    <w:basedOn w:val="Normal"/>
    <w:next w:val="Normal"/>
    <w:link w:val="Heading7Char"/>
    <w:uiPriority w:val="9"/>
    <w:semiHidden/>
    <w:qFormat/>
    <w:locked/>
    <w:rsid w:val="00F8075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qFormat/>
    <w:locked/>
    <w:rsid w:val="00F8075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qFormat/>
    <w:locked/>
    <w:rsid w:val="00F8075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minar Char,h1 Char,B1 Char,No numbers Char,H1 Char,69% Char,Attribute Heading 1 Char,1. Char,Main Heading Char,Head1 Char,Heading apps Char,Section Heading Char,H-1 Char,Bullet Char,b1 Char,Body1 Char"/>
    <w:basedOn w:val="DefaultParagraphFont"/>
    <w:link w:val="Heading1"/>
    <w:rsid w:val="00546095"/>
    <w:rPr>
      <w:rFonts w:eastAsiaTheme="majorEastAsia" w:cstheme="majorBidi"/>
      <w:bCs/>
      <w:color w:val="0051BA" w:themeColor="accent1"/>
      <w:sz w:val="48"/>
      <w:szCs w:val="28"/>
    </w:rPr>
  </w:style>
  <w:style w:type="character" w:customStyle="1" w:styleId="Heading2Char">
    <w:name w:val="Heading 2 Char"/>
    <w:aliases w:val="H-2 Char,headline Char,h Char,2 headline Char,h2 Char"/>
    <w:basedOn w:val="DefaultParagraphFont"/>
    <w:link w:val="Heading2"/>
    <w:rsid w:val="008317DE"/>
    <w:rPr>
      <w:rFonts w:asciiTheme="minorHAnsi" w:eastAsiaTheme="majorEastAsia" w:hAnsiTheme="minorHAnsi" w:cstheme="majorBidi"/>
      <w:bCs/>
      <w:color w:val="0051BA" w:themeColor="accent1"/>
      <w:sz w:val="26"/>
      <w:szCs w:val="26"/>
    </w:rPr>
  </w:style>
  <w:style w:type="character" w:customStyle="1" w:styleId="Heading3Char">
    <w:name w:val="Heading 3 Char"/>
    <w:aliases w:val="H-3 Char,Head 3 Char,Head 31 Char,h3 Char"/>
    <w:basedOn w:val="DefaultParagraphFont"/>
    <w:link w:val="Heading3"/>
    <w:rsid w:val="008317DE"/>
    <w:rPr>
      <w:rFonts w:eastAsiaTheme="majorEastAsia" w:cstheme="majorBidi"/>
      <w:bCs/>
      <w:color w:val="0051BA" w:themeColor="accent1"/>
      <w:sz w:val="24"/>
    </w:rPr>
  </w:style>
  <w:style w:type="paragraph" w:customStyle="1" w:styleId="CoverSubtitle">
    <w:name w:val="Cover Subtitle"/>
    <w:basedOn w:val="Normal"/>
    <w:next w:val="Normal"/>
    <w:uiPriority w:val="99"/>
    <w:rsid w:val="00D5084E"/>
    <w:pPr>
      <w:pBdr>
        <w:top w:val="single" w:sz="8" w:space="5" w:color="0051BA" w:themeColor="accent1"/>
        <w:bottom w:val="single" w:sz="8" w:space="6" w:color="0051BA" w:themeColor="accent1"/>
      </w:pBdr>
      <w:spacing w:before="120" w:after="600"/>
    </w:pPr>
    <w:rPr>
      <w:rFonts w:asciiTheme="minorHAnsi" w:hAnsiTheme="minorHAnsi"/>
      <w:b/>
      <w:caps/>
      <w:color w:val="0051BA" w:themeColor="accent1"/>
      <w:sz w:val="44"/>
    </w:rPr>
  </w:style>
  <w:style w:type="paragraph" w:styleId="ListNumber3">
    <w:name w:val="List Number 3"/>
    <w:basedOn w:val="Normal"/>
    <w:uiPriority w:val="99"/>
    <w:semiHidden/>
    <w:qFormat/>
    <w:locked/>
    <w:rsid w:val="00E31761"/>
    <w:pPr>
      <w:numPr>
        <w:numId w:val="3"/>
      </w:numPr>
      <w:contextualSpacing/>
    </w:pPr>
  </w:style>
  <w:style w:type="paragraph" w:customStyle="1" w:styleId="BodyBullet1">
    <w:name w:val="Body Bullet 1"/>
    <w:basedOn w:val="Normal"/>
    <w:semiHidden/>
    <w:qFormat/>
    <w:locked/>
    <w:rsid w:val="008A72D2"/>
    <w:pPr>
      <w:numPr>
        <w:numId w:val="1"/>
      </w:numPr>
      <w:spacing w:line="240" w:lineRule="atLeast"/>
      <w:ind w:left="714" w:hanging="357"/>
      <w:contextualSpacing/>
    </w:pPr>
  </w:style>
  <w:style w:type="paragraph" w:customStyle="1" w:styleId="BodyBullet2">
    <w:name w:val="Body Bullet 2"/>
    <w:basedOn w:val="BodyBullet1"/>
    <w:semiHidden/>
    <w:qFormat/>
    <w:locked/>
    <w:rsid w:val="008A72D2"/>
    <w:pPr>
      <w:numPr>
        <w:numId w:val="2"/>
      </w:numPr>
      <w:ind w:hanging="357"/>
    </w:pPr>
  </w:style>
  <w:style w:type="paragraph" w:customStyle="1" w:styleId="TableBullet1ListBullet3">
    <w:name w:val="Table Bullet 1  (List Bullet 3)"/>
    <w:basedOn w:val="Normal"/>
    <w:uiPriority w:val="16"/>
    <w:qFormat/>
    <w:rsid w:val="002931A6"/>
    <w:pPr>
      <w:numPr>
        <w:ilvl w:val="2"/>
        <w:numId w:val="12"/>
      </w:numPr>
      <w:spacing w:before="60" w:after="40" w:line="240" w:lineRule="auto"/>
      <w:ind w:left="397" w:hanging="284"/>
    </w:pPr>
  </w:style>
  <w:style w:type="paragraph" w:styleId="ListNumber4">
    <w:name w:val="List Number 4"/>
    <w:basedOn w:val="Normal"/>
    <w:uiPriority w:val="99"/>
    <w:semiHidden/>
    <w:qFormat/>
    <w:locked/>
    <w:rsid w:val="00E31761"/>
    <w:pPr>
      <w:numPr>
        <w:numId w:val="8"/>
      </w:numPr>
      <w:contextualSpacing/>
    </w:pPr>
  </w:style>
  <w:style w:type="paragraph" w:customStyle="1" w:styleId="CoverIntroductionText">
    <w:name w:val="Cover Introduction Text"/>
    <w:basedOn w:val="Normal"/>
    <w:semiHidden/>
    <w:rsid w:val="003E6BF6"/>
    <w:pPr>
      <w:spacing w:after="113"/>
    </w:pPr>
    <w:rPr>
      <w:color w:val="000000" w:themeColor="text1"/>
      <w:spacing w:val="-2"/>
    </w:rPr>
  </w:style>
  <w:style w:type="character" w:customStyle="1" w:styleId="Heading4Char">
    <w:name w:val="Heading 4 Char"/>
    <w:aliases w:val="Heading 4 Sub Heading Char,(Sub Heading) Char"/>
    <w:basedOn w:val="DefaultParagraphFont"/>
    <w:link w:val="Heading4"/>
    <w:rsid w:val="001343E9"/>
    <w:rPr>
      <w:rFonts w:asciiTheme="minorHAnsi" w:eastAsiaTheme="majorEastAsia" w:hAnsiTheme="minorHAnsi" w:cstheme="majorBidi"/>
      <w:bCs/>
      <w:i/>
      <w:iCs/>
      <w:color w:val="0051BA" w:themeColor="accent1"/>
    </w:rPr>
  </w:style>
  <w:style w:type="paragraph" w:styleId="ListBullet">
    <w:name w:val="List Bullet"/>
    <w:basedOn w:val="Normal"/>
    <w:qFormat/>
    <w:rsid w:val="008317DE"/>
    <w:pPr>
      <w:numPr>
        <w:numId w:val="12"/>
      </w:numPr>
      <w:tabs>
        <w:tab w:val="clear" w:pos="510"/>
      </w:tabs>
      <w:spacing w:before="80" w:after="80" w:line="240" w:lineRule="auto"/>
      <w:ind w:left="397" w:hanging="284"/>
    </w:pPr>
  </w:style>
  <w:style w:type="paragraph" w:styleId="ListBullet2">
    <w:name w:val="List Bullet 2"/>
    <w:basedOn w:val="ListBullet"/>
    <w:uiPriority w:val="14"/>
    <w:qFormat/>
    <w:rsid w:val="008317DE"/>
    <w:pPr>
      <w:numPr>
        <w:ilvl w:val="1"/>
      </w:numPr>
      <w:tabs>
        <w:tab w:val="clear" w:pos="907"/>
      </w:tabs>
      <w:spacing w:before="60" w:after="60"/>
      <w:ind w:left="851" w:hanging="284"/>
    </w:pPr>
    <w:rPr>
      <w:color w:val="000000" w:themeColor="text1"/>
    </w:rPr>
  </w:style>
  <w:style w:type="paragraph" w:styleId="ListNumber">
    <w:name w:val="List Number"/>
    <w:basedOn w:val="Normal"/>
    <w:uiPriority w:val="99"/>
    <w:qFormat/>
    <w:rsid w:val="00EB6FC5"/>
    <w:pPr>
      <w:numPr>
        <w:ilvl w:val="7"/>
        <w:numId w:val="17"/>
      </w:numPr>
      <w:spacing w:before="80" w:after="80" w:line="240" w:lineRule="auto"/>
    </w:pPr>
  </w:style>
  <w:style w:type="paragraph" w:styleId="ListNumber2">
    <w:name w:val="List Number 2"/>
    <w:basedOn w:val="Normal"/>
    <w:uiPriority w:val="15"/>
    <w:qFormat/>
    <w:rsid w:val="00EB6FC5"/>
    <w:pPr>
      <w:numPr>
        <w:ilvl w:val="8"/>
        <w:numId w:val="17"/>
      </w:numPr>
      <w:spacing w:before="60" w:line="240" w:lineRule="auto"/>
    </w:pPr>
  </w:style>
  <w:style w:type="numbering" w:customStyle="1" w:styleId="Lists">
    <w:name w:val="Lists"/>
    <w:uiPriority w:val="99"/>
    <w:locked/>
    <w:rsid w:val="00CB4238"/>
    <w:pPr>
      <w:numPr>
        <w:numId w:val="4"/>
      </w:numPr>
    </w:pPr>
  </w:style>
  <w:style w:type="numbering" w:customStyle="1" w:styleId="MultiLevelheadinglist">
    <w:name w:val="Multi Level heading list"/>
    <w:uiPriority w:val="99"/>
    <w:rsid w:val="00D461C2"/>
    <w:pPr>
      <w:numPr>
        <w:numId w:val="5"/>
      </w:numPr>
    </w:pPr>
  </w:style>
  <w:style w:type="paragraph" w:styleId="TOC1">
    <w:name w:val="toc 1"/>
    <w:basedOn w:val="Normal"/>
    <w:next w:val="Normal"/>
    <w:autoRedefine/>
    <w:uiPriority w:val="39"/>
    <w:rsid w:val="001757F2"/>
    <w:pPr>
      <w:tabs>
        <w:tab w:val="left" w:pos="567"/>
        <w:tab w:val="right" w:leader="dot" w:pos="8647"/>
      </w:tabs>
      <w:spacing w:before="120" w:after="0" w:line="240" w:lineRule="auto"/>
    </w:pPr>
    <w:rPr>
      <w:b/>
      <w:color w:val="0051BA" w:themeColor="accent1"/>
      <w:sz w:val="24"/>
    </w:rPr>
  </w:style>
  <w:style w:type="paragraph" w:styleId="TOCHeading">
    <w:name w:val="TOC Heading"/>
    <w:basedOn w:val="Heading1"/>
    <w:next w:val="Normal"/>
    <w:uiPriority w:val="39"/>
    <w:qFormat/>
    <w:rsid w:val="001757F2"/>
    <w:pPr>
      <w:numPr>
        <w:ilvl w:val="0"/>
        <w:numId w:val="0"/>
      </w:numPr>
      <w:spacing w:before="0" w:after="360"/>
    </w:pPr>
    <w:rPr>
      <w:sz w:val="30"/>
    </w:rPr>
  </w:style>
  <w:style w:type="paragraph" w:styleId="Footer">
    <w:name w:val="footer"/>
    <w:basedOn w:val="Normal"/>
    <w:link w:val="FooterChar"/>
    <w:uiPriority w:val="99"/>
    <w:rsid w:val="00943F1B"/>
    <w:pPr>
      <w:spacing w:before="0" w:after="0"/>
      <w:jc w:val="right"/>
    </w:pPr>
    <w:rPr>
      <w:b/>
      <w:color w:val="0051BA" w:themeColor="accent1"/>
      <w:sz w:val="18"/>
    </w:rPr>
  </w:style>
  <w:style w:type="character" w:customStyle="1" w:styleId="FooterChar">
    <w:name w:val="Footer Char"/>
    <w:basedOn w:val="DefaultParagraphFont"/>
    <w:link w:val="Footer"/>
    <w:uiPriority w:val="99"/>
    <w:rsid w:val="00943F1B"/>
    <w:rPr>
      <w:b/>
      <w:color w:val="0051BA" w:themeColor="accent1"/>
      <w:sz w:val="18"/>
    </w:rPr>
  </w:style>
  <w:style w:type="paragraph" w:customStyle="1" w:styleId="AppendixSub">
    <w:name w:val="Appendix Sub"/>
    <w:basedOn w:val="AppendixHeading"/>
    <w:next w:val="Normal"/>
    <w:uiPriority w:val="11"/>
    <w:qFormat/>
    <w:rsid w:val="000C7C4D"/>
    <w:pPr>
      <w:keepNext w:val="0"/>
      <w:keepLines w:val="0"/>
      <w:pageBreakBefore w:val="0"/>
      <w:numPr>
        <w:ilvl w:val="6"/>
      </w:numPr>
      <w:spacing w:after="240"/>
    </w:pPr>
    <w:rPr>
      <w:sz w:val="23"/>
    </w:rPr>
  </w:style>
  <w:style w:type="table" w:styleId="TableGrid">
    <w:name w:val="Table Grid"/>
    <w:basedOn w:val="TableNormal"/>
    <w:uiPriority w:val="59"/>
    <w:rsid w:val="00722255"/>
    <w:pPr>
      <w:spacing w:before="40" w:after="40" w:line="240" w:lineRule="auto"/>
      <w:ind w:left="108" w:right="108"/>
    </w:pPr>
    <w:tblPr>
      <w:tblInd w:w="0" w:type="dxa"/>
      <w:tblBorders>
        <w:top w:val="single" w:sz="4" w:space="0" w:color="0051BA" w:themeColor="accent1"/>
        <w:left w:val="single" w:sz="4" w:space="0" w:color="0051BA" w:themeColor="accent1"/>
        <w:bottom w:val="single" w:sz="4" w:space="0" w:color="0051BA" w:themeColor="accent1"/>
        <w:right w:val="single" w:sz="4" w:space="0" w:color="0051BA" w:themeColor="accent1"/>
        <w:insideH w:val="single" w:sz="4" w:space="0" w:color="0051BA" w:themeColor="accent1"/>
        <w:insideV w:val="single" w:sz="4" w:space="0" w:color="0051BA" w:themeColor="accent1"/>
      </w:tblBorders>
      <w:tblCellMar>
        <w:top w:w="0" w:type="dxa"/>
        <w:left w:w="0" w:type="dxa"/>
        <w:bottom w:w="0" w:type="dxa"/>
        <w:right w:w="0" w:type="dxa"/>
      </w:tblCellMar>
    </w:tblPr>
    <w:tblStylePr w:type="firstRow">
      <w:pPr>
        <w:wordWrap/>
        <w:spacing w:beforeLines="40" w:beforeAutospacing="0" w:afterLines="40" w:afterAutospacing="0" w:line="240" w:lineRule="auto"/>
      </w:pPr>
      <w:rPr>
        <w:rFonts w:asciiTheme="minorHAnsi" w:hAnsiTheme="minorHAnsi"/>
        <w:b/>
        <w:color w:val="FFFFFF" w:themeColor="background1"/>
        <w:sz w:val="20"/>
      </w:rPr>
      <w:tblPr/>
      <w:tcPr>
        <w:tcBorders>
          <w:insideH w:val="single" w:sz="2" w:space="0" w:color="FFFFFF" w:themeColor="background1"/>
          <w:insideV w:val="single" w:sz="2" w:space="0" w:color="FFFFFF" w:themeColor="background1"/>
        </w:tcBorders>
        <w:shd w:val="clear" w:color="auto" w:fill="003C8B" w:themeFill="accent1" w:themeFillShade="BF"/>
      </w:tcPr>
    </w:tblStylePr>
  </w:style>
  <w:style w:type="paragraph" w:styleId="Caption">
    <w:name w:val="caption"/>
    <w:basedOn w:val="Normal"/>
    <w:next w:val="Normal"/>
    <w:uiPriority w:val="35"/>
    <w:qFormat/>
    <w:rsid w:val="00992997"/>
    <w:pPr>
      <w:numPr>
        <w:numId w:val="15"/>
      </w:numPr>
      <w:spacing w:before="240" w:after="120" w:line="240" w:lineRule="auto"/>
    </w:pPr>
    <w:rPr>
      <w:bCs/>
      <w:color w:val="0051BA" w:themeColor="accent1"/>
      <w:sz w:val="18"/>
      <w:szCs w:val="18"/>
    </w:rPr>
  </w:style>
  <w:style w:type="paragraph" w:styleId="Header">
    <w:name w:val="header"/>
    <w:basedOn w:val="Normal"/>
    <w:link w:val="HeaderChar"/>
    <w:rsid w:val="002359E2"/>
    <w:pPr>
      <w:spacing w:before="0" w:after="0" w:line="240" w:lineRule="auto"/>
    </w:pPr>
    <w:rPr>
      <w:b/>
      <w:color w:val="0051BA" w:themeColor="accent1"/>
      <w:sz w:val="18"/>
    </w:rPr>
  </w:style>
  <w:style w:type="character" w:customStyle="1" w:styleId="HeaderChar">
    <w:name w:val="Header Char"/>
    <w:basedOn w:val="DefaultParagraphFont"/>
    <w:link w:val="Header"/>
    <w:uiPriority w:val="99"/>
    <w:rsid w:val="002359E2"/>
    <w:rPr>
      <w:b/>
      <w:color w:val="0051BA" w:themeColor="accent1"/>
      <w:sz w:val="18"/>
    </w:rPr>
  </w:style>
  <w:style w:type="paragraph" w:styleId="BalloonText">
    <w:name w:val="Balloon Text"/>
    <w:basedOn w:val="Normal"/>
    <w:link w:val="BalloonTextChar"/>
    <w:uiPriority w:val="99"/>
    <w:semiHidden/>
    <w:unhideWhenUsed/>
    <w:locked/>
    <w:rsid w:val="00C636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36DA"/>
    <w:rPr>
      <w:rFonts w:ascii="Tahoma" w:hAnsi="Tahoma" w:cs="Tahoma"/>
      <w:noProof w:val="0"/>
      <w:sz w:val="16"/>
      <w:szCs w:val="16"/>
      <w:lang w:val="en-AU"/>
    </w:rPr>
  </w:style>
  <w:style w:type="character" w:styleId="Hyperlink">
    <w:name w:val="Hyperlink"/>
    <w:basedOn w:val="DefaultParagraphFont"/>
    <w:uiPriority w:val="99"/>
    <w:rsid w:val="006427FE"/>
    <w:rPr>
      <w:noProof w:val="0"/>
      <w:color w:val="0051BA" w:themeColor="hyperlink"/>
      <w:u w:val="single"/>
      <w:lang w:val="en-AU"/>
    </w:rPr>
  </w:style>
  <w:style w:type="paragraph" w:styleId="Bibliography">
    <w:name w:val="Bibliography"/>
    <w:basedOn w:val="Normal"/>
    <w:next w:val="Normal"/>
    <w:uiPriority w:val="37"/>
    <w:semiHidden/>
    <w:unhideWhenUsed/>
    <w:locked/>
    <w:rsid w:val="00F80750"/>
  </w:style>
  <w:style w:type="paragraph" w:styleId="BlockText">
    <w:name w:val="Block Text"/>
    <w:basedOn w:val="Normal"/>
    <w:uiPriority w:val="99"/>
    <w:semiHidden/>
    <w:unhideWhenUsed/>
    <w:locked/>
    <w:rsid w:val="00F80750"/>
    <w:pPr>
      <w:pBdr>
        <w:top w:val="single" w:sz="2" w:space="10" w:color="0051BA" w:themeColor="accent1"/>
        <w:left w:val="single" w:sz="2" w:space="10" w:color="0051BA" w:themeColor="accent1"/>
        <w:bottom w:val="single" w:sz="2" w:space="10" w:color="0051BA" w:themeColor="accent1"/>
        <w:right w:val="single" w:sz="2" w:space="10" w:color="0051BA" w:themeColor="accent1"/>
      </w:pBdr>
      <w:ind w:left="1152" w:right="1152"/>
    </w:pPr>
    <w:rPr>
      <w:rFonts w:asciiTheme="minorHAnsi" w:eastAsiaTheme="minorEastAsia" w:hAnsiTheme="minorHAnsi"/>
      <w:i/>
      <w:iCs/>
      <w:color w:val="0051BA" w:themeColor="accent1"/>
    </w:rPr>
  </w:style>
  <w:style w:type="paragraph" w:styleId="BodyText">
    <w:name w:val="Body Text"/>
    <w:basedOn w:val="Normal"/>
    <w:link w:val="BodyTextChar"/>
    <w:uiPriority w:val="99"/>
    <w:semiHidden/>
    <w:unhideWhenUsed/>
    <w:locked/>
    <w:rsid w:val="00F80750"/>
    <w:pPr>
      <w:spacing w:after="120"/>
    </w:pPr>
  </w:style>
  <w:style w:type="character" w:customStyle="1" w:styleId="BodyTextChar">
    <w:name w:val="Body Text Char"/>
    <w:basedOn w:val="DefaultParagraphFont"/>
    <w:link w:val="BodyText"/>
    <w:uiPriority w:val="99"/>
    <w:semiHidden/>
    <w:rsid w:val="00F80750"/>
    <w:rPr>
      <w:noProof w:val="0"/>
      <w:lang w:val="en-AU"/>
    </w:rPr>
  </w:style>
  <w:style w:type="paragraph" w:styleId="BodyText2">
    <w:name w:val="Body Text 2"/>
    <w:basedOn w:val="Normal"/>
    <w:link w:val="BodyText2Char"/>
    <w:uiPriority w:val="99"/>
    <w:semiHidden/>
    <w:unhideWhenUsed/>
    <w:locked/>
    <w:rsid w:val="00F80750"/>
    <w:pPr>
      <w:spacing w:after="120" w:line="480" w:lineRule="auto"/>
    </w:pPr>
  </w:style>
  <w:style w:type="character" w:customStyle="1" w:styleId="BodyText2Char">
    <w:name w:val="Body Text 2 Char"/>
    <w:basedOn w:val="DefaultParagraphFont"/>
    <w:link w:val="BodyText2"/>
    <w:uiPriority w:val="99"/>
    <w:semiHidden/>
    <w:rsid w:val="00F80750"/>
    <w:rPr>
      <w:noProof w:val="0"/>
      <w:lang w:val="en-AU"/>
    </w:rPr>
  </w:style>
  <w:style w:type="paragraph" w:styleId="BodyText3">
    <w:name w:val="Body Text 3"/>
    <w:basedOn w:val="Normal"/>
    <w:link w:val="BodyText3Char"/>
    <w:uiPriority w:val="99"/>
    <w:semiHidden/>
    <w:unhideWhenUsed/>
    <w:locked/>
    <w:rsid w:val="00F80750"/>
    <w:pPr>
      <w:spacing w:after="120"/>
    </w:pPr>
    <w:rPr>
      <w:sz w:val="16"/>
      <w:szCs w:val="16"/>
    </w:rPr>
  </w:style>
  <w:style w:type="character" w:customStyle="1" w:styleId="BodyText3Char">
    <w:name w:val="Body Text 3 Char"/>
    <w:basedOn w:val="DefaultParagraphFont"/>
    <w:link w:val="BodyText3"/>
    <w:uiPriority w:val="99"/>
    <w:semiHidden/>
    <w:rsid w:val="00F80750"/>
    <w:rPr>
      <w:noProof w:val="0"/>
      <w:sz w:val="16"/>
      <w:szCs w:val="16"/>
      <w:lang w:val="en-AU"/>
    </w:rPr>
  </w:style>
  <w:style w:type="paragraph" w:styleId="BodyTextFirstIndent">
    <w:name w:val="Body Text First Indent"/>
    <w:basedOn w:val="BodyText"/>
    <w:link w:val="BodyTextFirstIndentChar"/>
    <w:uiPriority w:val="99"/>
    <w:semiHidden/>
    <w:unhideWhenUsed/>
    <w:locked/>
    <w:rsid w:val="00F80750"/>
    <w:pPr>
      <w:spacing w:after="170"/>
      <w:ind w:firstLine="360"/>
    </w:pPr>
  </w:style>
  <w:style w:type="character" w:customStyle="1" w:styleId="BodyTextFirstIndentChar">
    <w:name w:val="Body Text First Indent Char"/>
    <w:basedOn w:val="BodyTextChar"/>
    <w:link w:val="BodyTextFirstIndent"/>
    <w:uiPriority w:val="99"/>
    <w:semiHidden/>
    <w:rsid w:val="00F80750"/>
    <w:rPr>
      <w:noProof w:val="0"/>
      <w:lang w:val="en-AU"/>
    </w:rPr>
  </w:style>
  <w:style w:type="paragraph" w:styleId="BodyTextIndent">
    <w:name w:val="Body Text Indent"/>
    <w:basedOn w:val="Normal"/>
    <w:link w:val="BodyTextIndentChar"/>
    <w:uiPriority w:val="99"/>
    <w:semiHidden/>
    <w:unhideWhenUsed/>
    <w:locked/>
    <w:rsid w:val="00F80750"/>
    <w:pPr>
      <w:spacing w:after="120"/>
      <w:ind w:left="283"/>
    </w:pPr>
  </w:style>
  <w:style w:type="character" w:customStyle="1" w:styleId="BodyTextIndentChar">
    <w:name w:val="Body Text Indent Char"/>
    <w:basedOn w:val="DefaultParagraphFont"/>
    <w:link w:val="BodyTextIndent"/>
    <w:uiPriority w:val="99"/>
    <w:semiHidden/>
    <w:rsid w:val="00F80750"/>
    <w:rPr>
      <w:noProof w:val="0"/>
      <w:lang w:val="en-AU"/>
    </w:rPr>
  </w:style>
  <w:style w:type="paragraph" w:styleId="BodyTextFirstIndent2">
    <w:name w:val="Body Text First Indent 2"/>
    <w:basedOn w:val="BodyTextIndent"/>
    <w:link w:val="BodyTextFirstIndent2Char"/>
    <w:uiPriority w:val="99"/>
    <w:semiHidden/>
    <w:unhideWhenUsed/>
    <w:locked/>
    <w:rsid w:val="00F80750"/>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F80750"/>
    <w:rPr>
      <w:noProof w:val="0"/>
      <w:lang w:val="en-AU"/>
    </w:rPr>
  </w:style>
  <w:style w:type="paragraph" w:styleId="BodyTextIndent2">
    <w:name w:val="Body Text Indent 2"/>
    <w:basedOn w:val="Normal"/>
    <w:link w:val="BodyTextIndent2Char"/>
    <w:uiPriority w:val="99"/>
    <w:semiHidden/>
    <w:unhideWhenUsed/>
    <w:locked/>
    <w:rsid w:val="00F80750"/>
    <w:pPr>
      <w:spacing w:after="120" w:line="480" w:lineRule="auto"/>
      <w:ind w:left="283"/>
    </w:pPr>
  </w:style>
  <w:style w:type="character" w:customStyle="1" w:styleId="BodyTextIndent2Char">
    <w:name w:val="Body Text Indent 2 Char"/>
    <w:basedOn w:val="DefaultParagraphFont"/>
    <w:link w:val="BodyTextIndent2"/>
    <w:uiPriority w:val="99"/>
    <w:semiHidden/>
    <w:rsid w:val="00F80750"/>
    <w:rPr>
      <w:noProof w:val="0"/>
      <w:lang w:val="en-AU"/>
    </w:rPr>
  </w:style>
  <w:style w:type="paragraph" w:styleId="BodyTextIndent3">
    <w:name w:val="Body Text Indent 3"/>
    <w:basedOn w:val="Normal"/>
    <w:link w:val="BodyTextIndent3Char"/>
    <w:uiPriority w:val="99"/>
    <w:semiHidden/>
    <w:unhideWhenUsed/>
    <w:locked/>
    <w:rsid w:val="00F8075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80750"/>
    <w:rPr>
      <w:noProof w:val="0"/>
      <w:sz w:val="16"/>
      <w:szCs w:val="16"/>
      <w:lang w:val="en-AU"/>
    </w:rPr>
  </w:style>
  <w:style w:type="character" w:styleId="BookTitle">
    <w:name w:val="Book Title"/>
    <w:basedOn w:val="DefaultParagraphFont"/>
    <w:uiPriority w:val="33"/>
    <w:semiHidden/>
    <w:qFormat/>
    <w:locked/>
    <w:rsid w:val="00F80750"/>
    <w:rPr>
      <w:b/>
      <w:bCs/>
      <w:smallCaps/>
      <w:noProof w:val="0"/>
      <w:spacing w:val="5"/>
      <w:lang w:val="en-AU"/>
    </w:rPr>
  </w:style>
  <w:style w:type="paragraph" w:styleId="Closing">
    <w:name w:val="Closing"/>
    <w:basedOn w:val="Normal"/>
    <w:link w:val="ClosingChar"/>
    <w:uiPriority w:val="99"/>
    <w:semiHidden/>
    <w:unhideWhenUsed/>
    <w:locked/>
    <w:rsid w:val="00F80750"/>
    <w:pPr>
      <w:spacing w:after="0" w:line="240" w:lineRule="auto"/>
      <w:ind w:left="4252"/>
    </w:pPr>
  </w:style>
  <w:style w:type="character" w:customStyle="1" w:styleId="ClosingChar">
    <w:name w:val="Closing Char"/>
    <w:basedOn w:val="DefaultParagraphFont"/>
    <w:link w:val="Closing"/>
    <w:uiPriority w:val="99"/>
    <w:semiHidden/>
    <w:rsid w:val="00F80750"/>
    <w:rPr>
      <w:noProof w:val="0"/>
      <w:lang w:val="en-AU"/>
    </w:rPr>
  </w:style>
  <w:style w:type="table" w:customStyle="1" w:styleId="ColorfulGrid1">
    <w:name w:val="Colorful Grid1"/>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BEDAFF" w:themeFill="accent1" w:themeFillTint="33"/>
    </w:tcPr>
    <w:tblStylePr w:type="firstRow">
      <w:rPr>
        <w:b/>
        <w:bCs/>
      </w:rPr>
      <w:tblPr/>
      <w:tcPr>
        <w:shd w:val="clear" w:color="auto" w:fill="7DB5FF" w:themeFill="accent1" w:themeFillTint="66"/>
      </w:tcPr>
    </w:tblStylePr>
    <w:tblStylePr w:type="lastRow">
      <w:rPr>
        <w:b/>
        <w:bCs/>
        <w:color w:val="000000" w:themeColor="text1"/>
      </w:rPr>
      <w:tblPr/>
      <w:tcPr>
        <w:shd w:val="clear" w:color="auto" w:fill="7DB5FF" w:themeFill="accent1" w:themeFillTint="66"/>
      </w:tcPr>
    </w:tblStylePr>
    <w:tblStylePr w:type="firstCol">
      <w:rPr>
        <w:color w:val="FFFFFF" w:themeColor="background1"/>
      </w:rPr>
      <w:tblPr/>
      <w:tcPr>
        <w:shd w:val="clear" w:color="auto" w:fill="003C8B" w:themeFill="accent1" w:themeFillShade="BF"/>
      </w:tcPr>
    </w:tblStylePr>
    <w:tblStylePr w:type="lastCol">
      <w:rPr>
        <w:color w:val="FFFFFF" w:themeColor="background1"/>
      </w:rPr>
      <w:tblPr/>
      <w:tcPr>
        <w:shd w:val="clear" w:color="auto" w:fill="003C8B" w:themeFill="accent1" w:themeFillShade="BF"/>
      </w:tcPr>
    </w:tblStylePr>
    <w:tblStylePr w:type="band1Vert">
      <w:tblPr/>
      <w:tcPr>
        <w:shd w:val="clear" w:color="auto" w:fill="5DA3FF" w:themeFill="accent1" w:themeFillTint="7F"/>
      </w:tcPr>
    </w:tblStylePr>
    <w:tblStylePr w:type="band1Horz">
      <w:tblPr/>
      <w:tcPr>
        <w:shd w:val="clear" w:color="auto" w:fill="5DA3FF" w:themeFill="accent1" w:themeFillTint="7F"/>
      </w:tcPr>
    </w:tblStylePr>
  </w:style>
  <w:style w:type="table" w:styleId="ColorfulGrid-Accent2">
    <w:name w:val="Colorful Grid Accent 2"/>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3D2" w:themeFill="accent2" w:themeFillTint="33"/>
    </w:tcPr>
    <w:tblStylePr w:type="firstRow">
      <w:rPr>
        <w:b/>
        <w:bCs/>
      </w:rPr>
      <w:tblPr/>
      <w:tcPr>
        <w:shd w:val="clear" w:color="auto" w:fill="FFE8A5" w:themeFill="accent2" w:themeFillTint="66"/>
      </w:tcPr>
    </w:tblStylePr>
    <w:tblStylePr w:type="lastRow">
      <w:rPr>
        <w:b/>
        <w:bCs/>
        <w:color w:val="000000" w:themeColor="text1"/>
      </w:rPr>
      <w:tblPr/>
      <w:tcPr>
        <w:shd w:val="clear" w:color="auto" w:fill="FFE8A5" w:themeFill="accent2" w:themeFillTint="66"/>
      </w:tcPr>
    </w:tblStylePr>
    <w:tblStylePr w:type="firstCol">
      <w:rPr>
        <w:color w:val="FFFFFF" w:themeColor="background1"/>
      </w:rPr>
      <w:tblPr/>
      <w:tcPr>
        <w:shd w:val="clear" w:color="auto" w:fill="D59E00" w:themeFill="accent2" w:themeFillShade="BF"/>
      </w:tcPr>
    </w:tblStylePr>
    <w:tblStylePr w:type="lastCol">
      <w:rPr>
        <w:color w:val="FFFFFF" w:themeColor="background1"/>
      </w:rPr>
      <w:tblPr/>
      <w:tcPr>
        <w:shd w:val="clear" w:color="auto" w:fill="D59E00" w:themeFill="accent2" w:themeFillShade="BF"/>
      </w:tcPr>
    </w:tblStylePr>
    <w:tblStylePr w:type="band1Vert">
      <w:tblPr/>
      <w:tcPr>
        <w:shd w:val="clear" w:color="auto" w:fill="FFE28E" w:themeFill="accent2" w:themeFillTint="7F"/>
      </w:tcPr>
    </w:tblStylePr>
    <w:tblStylePr w:type="band1Horz">
      <w:tblPr/>
      <w:tcPr>
        <w:shd w:val="clear" w:color="auto" w:fill="FFE28E" w:themeFill="accent2" w:themeFillTint="7F"/>
      </w:tcPr>
    </w:tblStylePr>
  </w:style>
  <w:style w:type="table" w:styleId="ColorfulGrid-Accent3">
    <w:name w:val="Colorful Grid Accent 3"/>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8E8FF" w:themeFill="accent3" w:themeFillTint="33"/>
    </w:tcPr>
    <w:tblStylePr w:type="firstRow">
      <w:rPr>
        <w:b/>
        <w:bCs/>
      </w:rPr>
      <w:tblPr/>
      <w:tcPr>
        <w:shd w:val="clear" w:color="auto" w:fill="B1D2FF" w:themeFill="accent3" w:themeFillTint="66"/>
      </w:tcPr>
    </w:tblStylePr>
    <w:tblStylePr w:type="lastRow">
      <w:rPr>
        <w:b/>
        <w:bCs/>
        <w:color w:val="000000" w:themeColor="text1"/>
      </w:rPr>
      <w:tblPr/>
      <w:tcPr>
        <w:shd w:val="clear" w:color="auto" w:fill="B1D2FF" w:themeFill="accent3" w:themeFillTint="66"/>
      </w:tcPr>
    </w:tblStylePr>
    <w:tblStylePr w:type="firstCol">
      <w:rPr>
        <w:color w:val="FFFFFF" w:themeColor="background1"/>
      </w:rPr>
      <w:tblPr/>
      <w:tcPr>
        <w:shd w:val="clear" w:color="auto" w:fill="0066EB" w:themeFill="accent3" w:themeFillShade="BF"/>
      </w:tcPr>
    </w:tblStylePr>
    <w:tblStylePr w:type="lastCol">
      <w:rPr>
        <w:color w:val="FFFFFF" w:themeColor="background1"/>
      </w:rPr>
      <w:tblPr/>
      <w:tcPr>
        <w:shd w:val="clear" w:color="auto" w:fill="0066EB" w:themeFill="accent3" w:themeFillShade="BF"/>
      </w:tcPr>
    </w:tblStylePr>
    <w:tblStylePr w:type="band1Vert">
      <w:tblPr/>
      <w:tcPr>
        <w:shd w:val="clear" w:color="auto" w:fill="9DC8FF" w:themeFill="accent3" w:themeFillTint="7F"/>
      </w:tcPr>
    </w:tblStylePr>
    <w:tblStylePr w:type="band1Horz">
      <w:tblPr/>
      <w:tcPr>
        <w:shd w:val="clear" w:color="auto" w:fill="9DC8FF" w:themeFill="accent3" w:themeFillTint="7F"/>
      </w:tcPr>
    </w:tblStylePr>
  </w:style>
  <w:style w:type="table" w:styleId="ColorfulGrid-Accent4">
    <w:name w:val="Colorful Grid Accent 4"/>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7E3" w:themeFill="accent4" w:themeFillTint="33"/>
    </w:tcPr>
    <w:tblStylePr w:type="firstRow">
      <w:rPr>
        <w:b/>
        <w:bCs/>
      </w:rPr>
      <w:tblPr/>
      <w:tcPr>
        <w:shd w:val="clear" w:color="auto" w:fill="FFF0C8" w:themeFill="accent4" w:themeFillTint="66"/>
      </w:tcPr>
    </w:tblStylePr>
    <w:tblStylePr w:type="lastRow">
      <w:rPr>
        <w:b/>
        <w:bCs/>
        <w:color w:val="000000" w:themeColor="text1"/>
      </w:rPr>
      <w:tblPr/>
      <w:tcPr>
        <w:shd w:val="clear" w:color="auto" w:fill="FFF0C8" w:themeFill="accent4" w:themeFillTint="66"/>
      </w:tcPr>
    </w:tblStylePr>
    <w:tblStylePr w:type="firstCol">
      <w:rPr>
        <w:color w:val="FFFFFF" w:themeColor="background1"/>
      </w:rPr>
      <w:tblPr/>
      <w:tcPr>
        <w:shd w:val="clear" w:color="auto" w:fill="FFC319" w:themeFill="accent4" w:themeFillShade="BF"/>
      </w:tcPr>
    </w:tblStylePr>
    <w:tblStylePr w:type="lastCol">
      <w:rPr>
        <w:color w:val="FFFFFF" w:themeColor="background1"/>
      </w:rPr>
      <w:tblPr/>
      <w:tcPr>
        <w:shd w:val="clear" w:color="auto" w:fill="FFC319" w:themeFill="accent4" w:themeFillShade="BF"/>
      </w:tcPr>
    </w:tblStylePr>
    <w:tblStylePr w:type="band1Vert">
      <w:tblPr/>
      <w:tcPr>
        <w:shd w:val="clear" w:color="auto" w:fill="FFEDBB" w:themeFill="accent4" w:themeFillTint="7F"/>
      </w:tcPr>
    </w:tblStylePr>
    <w:tblStylePr w:type="band1Horz">
      <w:tblPr/>
      <w:tcPr>
        <w:shd w:val="clear" w:color="auto" w:fill="FFEDBB" w:themeFill="accent4" w:themeFillTint="7F"/>
      </w:tcPr>
    </w:tblStylePr>
  </w:style>
  <w:style w:type="table" w:styleId="ColorfulGrid-Accent5">
    <w:name w:val="Colorful Grid Accent 5"/>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F7FF" w:themeFill="accent5" w:themeFillTint="33"/>
    </w:tcPr>
    <w:tblStylePr w:type="firstRow">
      <w:rPr>
        <w:b/>
        <w:bCs/>
      </w:rPr>
      <w:tblPr/>
      <w:tcPr>
        <w:shd w:val="clear" w:color="auto" w:fill="E5F0FF" w:themeFill="accent5" w:themeFillTint="66"/>
      </w:tcPr>
    </w:tblStylePr>
    <w:tblStylePr w:type="lastRow">
      <w:rPr>
        <w:b/>
        <w:bCs/>
        <w:color w:val="000000" w:themeColor="text1"/>
      </w:rPr>
      <w:tblPr/>
      <w:tcPr>
        <w:shd w:val="clear" w:color="auto" w:fill="E5F0FF" w:themeFill="accent5" w:themeFillTint="66"/>
      </w:tcPr>
    </w:tblStylePr>
    <w:tblStylePr w:type="firstCol">
      <w:rPr>
        <w:color w:val="FFFFFF" w:themeColor="background1"/>
      </w:rPr>
      <w:tblPr/>
      <w:tcPr>
        <w:shd w:val="clear" w:color="auto" w:fill="4E99FF" w:themeFill="accent5" w:themeFillShade="BF"/>
      </w:tcPr>
    </w:tblStylePr>
    <w:tblStylePr w:type="lastCol">
      <w:rPr>
        <w:color w:val="FFFFFF" w:themeColor="background1"/>
      </w:rPr>
      <w:tblPr/>
      <w:tcPr>
        <w:shd w:val="clear" w:color="auto" w:fill="4E99FF" w:themeFill="accent5" w:themeFillShade="BF"/>
      </w:tcPr>
    </w:tblStylePr>
    <w:tblStylePr w:type="band1Vert">
      <w:tblPr/>
      <w:tcPr>
        <w:shd w:val="clear" w:color="auto" w:fill="DEECFF" w:themeFill="accent5" w:themeFillTint="7F"/>
      </w:tcPr>
    </w:tblStylePr>
    <w:tblStylePr w:type="band1Horz">
      <w:tblPr/>
      <w:tcPr>
        <w:shd w:val="clear" w:color="auto" w:fill="DEECFF" w:themeFill="accent5" w:themeFillTint="7F"/>
      </w:tcPr>
    </w:tblStylePr>
  </w:style>
  <w:style w:type="table" w:styleId="ColorfulGrid-Accent6">
    <w:name w:val="Colorful Grid Accent 6"/>
    <w:basedOn w:val="TableNormal"/>
    <w:uiPriority w:val="73"/>
    <w:locked/>
    <w:rsid w:val="00F80750"/>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CF6" w:themeFill="accent6" w:themeFillTint="33"/>
    </w:tcPr>
    <w:tblStylePr w:type="firstRow">
      <w:rPr>
        <w:b/>
        <w:bCs/>
      </w:rPr>
      <w:tblPr/>
      <w:tcPr>
        <w:shd w:val="clear" w:color="auto" w:fill="FFFAED" w:themeFill="accent6" w:themeFillTint="66"/>
      </w:tcPr>
    </w:tblStylePr>
    <w:tblStylePr w:type="lastRow">
      <w:rPr>
        <w:b/>
        <w:bCs/>
        <w:color w:val="000000" w:themeColor="text1"/>
      </w:rPr>
      <w:tblPr/>
      <w:tcPr>
        <w:shd w:val="clear" w:color="auto" w:fill="FFFAED" w:themeFill="accent6" w:themeFillTint="66"/>
      </w:tcPr>
    </w:tblStylePr>
    <w:tblStylePr w:type="firstCol">
      <w:rPr>
        <w:color w:val="FFFFFF" w:themeColor="background1"/>
      </w:rPr>
      <w:tblPr/>
      <w:tcPr>
        <w:shd w:val="clear" w:color="auto" w:fill="FFD35D" w:themeFill="accent6" w:themeFillShade="BF"/>
      </w:tcPr>
    </w:tblStylePr>
    <w:tblStylePr w:type="lastCol">
      <w:rPr>
        <w:color w:val="FFFFFF" w:themeColor="background1"/>
      </w:rPr>
      <w:tblPr/>
      <w:tcPr>
        <w:shd w:val="clear" w:color="auto" w:fill="FFD35D" w:themeFill="accent6" w:themeFillShade="BF"/>
      </w:tcPr>
    </w:tblStylePr>
    <w:tblStylePr w:type="band1Vert">
      <w:tblPr/>
      <w:tcPr>
        <w:shd w:val="clear" w:color="auto" w:fill="FFF8E8" w:themeFill="accent6" w:themeFillTint="7F"/>
      </w:tcPr>
    </w:tblStylePr>
    <w:tblStylePr w:type="band1Horz">
      <w:tblPr/>
      <w:tcPr>
        <w:shd w:val="clear" w:color="auto" w:fill="FFF8E8" w:themeFill="accent6" w:themeFillTint="7F"/>
      </w:tcPr>
    </w:tblStylePr>
  </w:style>
  <w:style w:type="table" w:customStyle="1" w:styleId="ColorfulList1">
    <w:name w:val="Colorful List1"/>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E4A900" w:themeFill="accent2" w:themeFillShade="CC"/>
      </w:tcPr>
    </w:tblStylePr>
    <w:tblStylePr w:type="lastRow">
      <w:rPr>
        <w:b/>
        <w:bCs/>
        <w:color w:val="E4A9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DFECFF" w:themeFill="accent1" w:themeFillTint="19"/>
    </w:tcPr>
    <w:tblStylePr w:type="firstRow">
      <w:rPr>
        <w:b/>
        <w:bCs/>
        <w:color w:val="FFFFFF" w:themeColor="background1"/>
      </w:rPr>
      <w:tblPr/>
      <w:tcPr>
        <w:tcBorders>
          <w:bottom w:val="single" w:sz="12" w:space="0" w:color="FFFFFF" w:themeColor="background1"/>
        </w:tcBorders>
        <w:shd w:val="clear" w:color="auto" w:fill="E4A900" w:themeFill="accent2" w:themeFillShade="CC"/>
      </w:tcPr>
    </w:tblStylePr>
    <w:tblStylePr w:type="lastRow">
      <w:rPr>
        <w:b/>
        <w:bCs/>
        <w:color w:val="E4A9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ED1FF" w:themeFill="accent1" w:themeFillTint="3F"/>
      </w:tcPr>
    </w:tblStylePr>
    <w:tblStylePr w:type="band1Horz">
      <w:tblPr/>
      <w:tcPr>
        <w:shd w:val="clear" w:color="auto" w:fill="BEDAFF" w:themeFill="accent1" w:themeFillTint="33"/>
      </w:tcPr>
    </w:tblStylePr>
  </w:style>
  <w:style w:type="table" w:styleId="ColorfulList-Accent2">
    <w:name w:val="Colorful List Accent 2"/>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9E8" w:themeFill="accent2" w:themeFillTint="19"/>
    </w:tcPr>
    <w:tblStylePr w:type="firstRow">
      <w:rPr>
        <w:b/>
        <w:bCs/>
        <w:color w:val="FFFFFF" w:themeColor="background1"/>
      </w:rPr>
      <w:tblPr/>
      <w:tcPr>
        <w:tcBorders>
          <w:bottom w:val="single" w:sz="12" w:space="0" w:color="FFFFFF" w:themeColor="background1"/>
        </w:tcBorders>
        <w:shd w:val="clear" w:color="auto" w:fill="E4A900" w:themeFill="accent2" w:themeFillShade="CC"/>
      </w:tcPr>
    </w:tblStylePr>
    <w:tblStylePr w:type="lastRow">
      <w:rPr>
        <w:b/>
        <w:bCs/>
        <w:color w:val="E4A9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0C7" w:themeFill="accent2" w:themeFillTint="3F"/>
      </w:tcPr>
    </w:tblStylePr>
    <w:tblStylePr w:type="band1Horz">
      <w:tblPr/>
      <w:tcPr>
        <w:shd w:val="clear" w:color="auto" w:fill="FFF3D2" w:themeFill="accent2" w:themeFillTint="33"/>
      </w:tcPr>
    </w:tblStylePr>
  </w:style>
  <w:style w:type="table" w:styleId="ColorfulList-Accent3">
    <w:name w:val="Colorful List Accent 3"/>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BF4FF" w:themeFill="accent3" w:themeFillTint="19"/>
    </w:tcPr>
    <w:tblStylePr w:type="firstRow">
      <w:rPr>
        <w:b/>
        <w:bCs/>
        <w:color w:val="FFFFFF" w:themeColor="background1"/>
      </w:rPr>
      <w:tblPr/>
      <w:tcPr>
        <w:tcBorders>
          <w:bottom w:val="single" w:sz="12" w:space="0" w:color="FFFFFF" w:themeColor="background1"/>
        </w:tcBorders>
        <w:shd w:val="clear" w:color="auto" w:fill="FFC82C" w:themeFill="accent4" w:themeFillShade="CC"/>
      </w:tcPr>
    </w:tblStylePr>
    <w:tblStylePr w:type="lastRow">
      <w:rPr>
        <w:b/>
        <w:bCs/>
        <w:color w:val="FFC82C"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EE3FF" w:themeFill="accent3" w:themeFillTint="3F"/>
      </w:tcPr>
    </w:tblStylePr>
    <w:tblStylePr w:type="band1Horz">
      <w:tblPr/>
      <w:tcPr>
        <w:shd w:val="clear" w:color="auto" w:fill="D8E8FF" w:themeFill="accent3" w:themeFillTint="33"/>
      </w:tcPr>
    </w:tblStylePr>
  </w:style>
  <w:style w:type="table" w:styleId="ColorfulList-Accent4">
    <w:name w:val="Colorful List Accent 4"/>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BF1" w:themeFill="accent4" w:themeFillTint="19"/>
    </w:tcPr>
    <w:tblStylePr w:type="firstRow">
      <w:rPr>
        <w:b/>
        <w:bCs/>
        <w:color w:val="FFFFFF" w:themeColor="background1"/>
      </w:rPr>
      <w:tblPr/>
      <w:tcPr>
        <w:tcBorders>
          <w:bottom w:val="single" w:sz="12" w:space="0" w:color="FFFFFF" w:themeColor="background1"/>
        </w:tcBorders>
        <w:shd w:val="clear" w:color="auto" w:fill="006DFC" w:themeFill="accent3" w:themeFillShade="CC"/>
      </w:tcPr>
    </w:tblStylePr>
    <w:tblStylePr w:type="lastRow">
      <w:rPr>
        <w:b/>
        <w:bCs/>
        <w:color w:val="006DF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6DD" w:themeFill="accent4" w:themeFillTint="3F"/>
      </w:tcPr>
    </w:tblStylePr>
    <w:tblStylePr w:type="band1Horz">
      <w:tblPr/>
      <w:tcPr>
        <w:shd w:val="clear" w:color="auto" w:fill="FFF7E3" w:themeFill="accent4" w:themeFillTint="33"/>
      </w:tcPr>
    </w:tblStylePr>
  </w:style>
  <w:style w:type="table" w:styleId="ColorfulList-Accent5">
    <w:name w:val="Colorful List Accent 5"/>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FBFF" w:themeFill="accent5" w:themeFillTint="19"/>
    </w:tcPr>
    <w:tblStylePr w:type="firstRow">
      <w:rPr>
        <w:b/>
        <w:bCs/>
        <w:color w:val="FFFFFF" w:themeColor="background1"/>
      </w:rPr>
      <w:tblPr/>
      <w:tcPr>
        <w:tcBorders>
          <w:bottom w:val="single" w:sz="12" w:space="0" w:color="FFFFFF" w:themeColor="background1"/>
        </w:tcBorders>
        <w:shd w:val="clear" w:color="auto" w:fill="FFDA75" w:themeFill="accent6" w:themeFillShade="CC"/>
      </w:tcPr>
    </w:tblStylePr>
    <w:tblStylePr w:type="lastRow">
      <w:rPr>
        <w:b/>
        <w:bCs/>
        <w:color w:val="FFDA75"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EF5FF" w:themeFill="accent5" w:themeFillTint="3F"/>
      </w:tcPr>
    </w:tblStylePr>
    <w:tblStylePr w:type="band1Horz">
      <w:tblPr/>
      <w:tcPr>
        <w:shd w:val="clear" w:color="auto" w:fill="F2F7FF" w:themeFill="accent5" w:themeFillTint="33"/>
      </w:tcPr>
    </w:tblStylePr>
  </w:style>
  <w:style w:type="table" w:styleId="ColorfulList-Accent6">
    <w:name w:val="Colorful List Accent 6"/>
    <w:basedOn w:val="TableNormal"/>
    <w:uiPriority w:val="72"/>
    <w:locked/>
    <w:rsid w:val="00F80750"/>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FFDFA" w:themeFill="accent6" w:themeFillTint="19"/>
    </w:tcPr>
    <w:tblStylePr w:type="firstRow">
      <w:rPr>
        <w:b/>
        <w:bCs/>
        <w:color w:val="FFFFFF" w:themeColor="background1"/>
      </w:rPr>
      <w:tblPr/>
      <w:tcPr>
        <w:tcBorders>
          <w:bottom w:val="single" w:sz="12" w:space="0" w:color="FFFFFF" w:themeColor="background1"/>
        </w:tcBorders>
        <w:shd w:val="clear" w:color="auto" w:fill="65A6FF" w:themeFill="accent5" w:themeFillShade="CC"/>
      </w:tcPr>
    </w:tblStylePr>
    <w:tblStylePr w:type="lastRow">
      <w:rPr>
        <w:b/>
        <w:bCs/>
        <w:color w:val="65A6FF"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BF3" w:themeFill="accent6" w:themeFillTint="3F"/>
      </w:tcPr>
    </w:tblStylePr>
    <w:tblStylePr w:type="band1Horz">
      <w:tblPr/>
      <w:tcPr>
        <w:shd w:val="clear" w:color="auto" w:fill="FFFCF6" w:themeFill="accent6" w:themeFillTint="33"/>
      </w:tcPr>
    </w:tblStylePr>
  </w:style>
  <w:style w:type="table" w:customStyle="1" w:styleId="ColorfulShading1">
    <w:name w:val="Colorful Shading1"/>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FFC61E"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FFC61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FFC61E" w:themeColor="accent2"/>
        <w:left w:val="single" w:sz="4" w:space="0" w:color="0051BA" w:themeColor="accent1"/>
        <w:bottom w:val="single" w:sz="4" w:space="0" w:color="0051BA" w:themeColor="accent1"/>
        <w:right w:val="single" w:sz="4" w:space="0" w:color="0051BA"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FECFF" w:themeFill="accent1" w:themeFillTint="19"/>
    </w:tcPr>
    <w:tblStylePr w:type="firstRow">
      <w:rPr>
        <w:b/>
        <w:bCs/>
      </w:rPr>
      <w:tblPr/>
      <w:tcPr>
        <w:tcBorders>
          <w:top w:val="nil"/>
          <w:left w:val="nil"/>
          <w:bottom w:val="single" w:sz="24" w:space="0" w:color="FFC61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306F" w:themeFill="accent1" w:themeFillShade="99"/>
      </w:tcPr>
    </w:tblStylePr>
    <w:tblStylePr w:type="firstCol">
      <w:rPr>
        <w:color w:val="FFFFFF" w:themeColor="background1"/>
      </w:rPr>
      <w:tblPr/>
      <w:tcPr>
        <w:tcBorders>
          <w:top w:val="nil"/>
          <w:left w:val="nil"/>
          <w:bottom w:val="nil"/>
          <w:right w:val="nil"/>
          <w:insideH w:val="single" w:sz="4" w:space="0" w:color="00306F" w:themeColor="accent1" w:themeShade="99"/>
          <w:insideV w:val="nil"/>
        </w:tcBorders>
        <w:shd w:val="clear" w:color="auto" w:fill="00306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306F" w:themeFill="accent1" w:themeFillShade="99"/>
      </w:tcPr>
    </w:tblStylePr>
    <w:tblStylePr w:type="band1Vert">
      <w:tblPr/>
      <w:tcPr>
        <w:shd w:val="clear" w:color="auto" w:fill="7DB5FF" w:themeFill="accent1" w:themeFillTint="66"/>
      </w:tcPr>
    </w:tblStylePr>
    <w:tblStylePr w:type="band1Horz">
      <w:tblPr/>
      <w:tcPr>
        <w:shd w:val="clear" w:color="auto" w:fill="5DA3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FFC61E" w:themeColor="accent2"/>
        <w:left w:val="single" w:sz="4" w:space="0" w:color="FFC61E" w:themeColor="accent2"/>
        <w:bottom w:val="single" w:sz="4" w:space="0" w:color="FFC61E" w:themeColor="accent2"/>
        <w:right w:val="single" w:sz="4" w:space="0" w:color="FFC61E"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9E8" w:themeFill="accent2" w:themeFillTint="19"/>
    </w:tcPr>
    <w:tblStylePr w:type="firstRow">
      <w:rPr>
        <w:b/>
        <w:bCs/>
      </w:rPr>
      <w:tblPr/>
      <w:tcPr>
        <w:tcBorders>
          <w:top w:val="nil"/>
          <w:left w:val="nil"/>
          <w:bottom w:val="single" w:sz="24" w:space="0" w:color="FFC61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B7F00" w:themeFill="accent2" w:themeFillShade="99"/>
      </w:tcPr>
    </w:tblStylePr>
    <w:tblStylePr w:type="firstCol">
      <w:rPr>
        <w:color w:val="FFFFFF" w:themeColor="background1"/>
      </w:rPr>
      <w:tblPr/>
      <w:tcPr>
        <w:tcBorders>
          <w:top w:val="nil"/>
          <w:left w:val="nil"/>
          <w:bottom w:val="nil"/>
          <w:right w:val="nil"/>
          <w:insideH w:val="single" w:sz="4" w:space="0" w:color="AB7F00" w:themeColor="accent2" w:themeShade="99"/>
          <w:insideV w:val="nil"/>
        </w:tcBorders>
        <w:shd w:val="clear" w:color="auto" w:fill="AB7F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AB7F00" w:themeFill="accent2" w:themeFillShade="99"/>
      </w:tcPr>
    </w:tblStylePr>
    <w:tblStylePr w:type="band1Vert">
      <w:tblPr/>
      <w:tcPr>
        <w:shd w:val="clear" w:color="auto" w:fill="FFE8A5" w:themeFill="accent2" w:themeFillTint="66"/>
      </w:tcPr>
    </w:tblStylePr>
    <w:tblStylePr w:type="band1Horz">
      <w:tblPr/>
      <w:tcPr>
        <w:shd w:val="clear" w:color="auto" w:fill="FFE28E"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FFDC77" w:themeColor="accent4"/>
        <w:left w:val="single" w:sz="4" w:space="0" w:color="3C91FF" w:themeColor="accent3"/>
        <w:bottom w:val="single" w:sz="4" w:space="0" w:color="3C91FF" w:themeColor="accent3"/>
        <w:right w:val="single" w:sz="4" w:space="0" w:color="3C91FF"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BF4FF" w:themeFill="accent3" w:themeFillTint="19"/>
    </w:tcPr>
    <w:tblStylePr w:type="firstRow">
      <w:rPr>
        <w:b/>
        <w:bCs/>
      </w:rPr>
      <w:tblPr/>
      <w:tcPr>
        <w:tcBorders>
          <w:top w:val="nil"/>
          <w:left w:val="nil"/>
          <w:bottom w:val="single" w:sz="24" w:space="0" w:color="FFDC77"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2BD" w:themeFill="accent3" w:themeFillShade="99"/>
      </w:tcPr>
    </w:tblStylePr>
    <w:tblStylePr w:type="firstCol">
      <w:rPr>
        <w:color w:val="FFFFFF" w:themeColor="background1"/>
      </w:rPr>
      <w:tblPr/>
      <w:tcPr>
        <w:tcBorders>
          <w:top w:val="nil"/>
          <w:left w:val="nil"/>
          <w:bottom w:val="nil"/>
          <w:right w:val="nil"/>
          <w:insideH w:val="single" w:sz="4" w:space="0" w:color="0052BD" w:themeColor="accent3" w:themeShade="99"/>
          <w:insideV w:val="nil"/>
        </w:tcBorders>
        <w:shd w:val="clear" w:color="auto" w:fill="0052BD"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52BD" w:themeFill="accent3" w:themeFillShade="99"/>
      </w:tcPr>
    </w:tblStylePr>
    <w:tblStylePr w:type="band1Vert">
      <w:tblPr/>
      <w:tcPr>
        <w:shd w:val="clear" w:color="auto" w:fill="B1D2FF" w:themeFill="accent3" w:themeFillTint="66"/>
      </w:tcPr>
    </w:tblStylePr>
    <w:tblStylePr w:type="band1Horz">
      <w:tblPr/>
      <w:tcPr>
        <w:shd w:val="clear" w:color="auto" w:fill="9DC8FF" w:themeFill="accent3" w:themeFillTint="7F"/>
      </w:tcPr>
    </w:tblStylePr>
  </w:style>
  <w:style w:type="table" w:styleId="ColorfulShading-Accent4">
    <w:name w:val="Colorful Shading Accent 4"/>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3C91FF" w:themeColor="accent3"/>
        <w:left w:val="single" w:sz="4" w:space="0" w:color="FFDC77" w:themeColor="accent4"/>
        <w:bottom w:val="single" w:sz="4" w:space="0" w:color="FFDC77" w:themeColor="accent4"/>
        <w:right w:val="single" w:sz="4" w:space="0" w:color="FFDC77"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BF1" w:themeFill="accent4" w:themeFillTint="19"/>
    </w:tcPr>
    <w:tblStylePr w:type="firstRow">
      <w:rPr>
        <w:b/>
        <w:bCs/>
      </w:rPr>
      <w:tblPr/>
      <w:tcPr>
        <w:tcBorders>
          <w:top w:val="nil"/>
          <w:left w:val="nil"/>
          <w:bottom w:val="single" w:sz="24" w:space="0" w:color="3C91F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E0A600" w:themeFill="accent4" w:themeFillShade="99"/>
      </w:tcPr>
    </w:tblStylePr>
    <w:tblStylePr w:type="firstCol">
      <w:rPr>
        <w:color w:val="FFFFFF" w:themeColor="background1"/>
      </w:rPr>
      <w:tblPr/>
      <w:tcPr>
        <w:tcBorders>
          <w:top w:val="nil"/>
          <w:left w:val="nil"/>
          <w:bottom w:val="nil"/>
          <w:right w:val="nil"/>
          <w:insideH w:val="single" w:sz="4" w:space="0" w:color="E0A600" w:themeColor="accent4" w:themeShade="99"/>
          <w:insideV w:val="nil"/>
        </w:tcBorders>
        <w:shd w:val="clear" w:color="auto" w:fill="E0A6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E0A600" w:themeFill="accent4" w:themeFillShade="99"/>
      </w:tcPr>
    </w:tblStylePr>
    <w:tblStylePr w:type="band1Vert">
      <w:tblPr/>
      <w:tcPr>
        <w:shd w:val="clear" w:color="auto" w:fill="FFF0C8" w:themeFill="accent4" w:themeFillTint="66"/>
      </w:tcPr>
    </w:tblStylePr>
    <w:tblStylePr w:type="band1Horz">
      <w:tblPr/>
      <w:tcPr>
        <w:shd w:val="clear" w:color="auto" w:fill="FFEDB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FFF3D2" w:themeColor="accent6"/>
        <w:left w:val="single" w:sz="4" w:space="0" w:color="BEDAFF" w:themeColor="accent5"/>
        <w:bottom w:val="single" w:sz="4" w:space="0" w:color="BEDAFF" w:themeColor="accent5"/>
        <w:right w:val="single" w:sz="4" w:space="0" w:color="BEDAFF"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FBFF" w:themeFill="accent5" w:themeFillTint="19"/>
    </w:tcPr>
    <w:tblStylePr w:type="firstRow">
      <w:rPr>
        <w:b/>
        <w:bCs/>
      </w:rPr>
      <w:tblPr/>
      <w:tcPr>
        <w:tcBorders>
          <w:top w:val="nil"/>
          <w:left w:val="nil"/>
          <w:bottom w:val="single" w:sz="24" w:space="0" w:color="FFF3D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73FF" w:themeFill="accent5" w:themeFillShade="99"/>
      </w:tcPr>
    </w:tblStylePr>
    <w:tblStylePr w:type="firstCol">
      <w:rPr>
        <w:color w:val="FFFFFF" w:themeColor="background1"/>
      </w:rPr>
      <w:tblPr/>
      <w:tcPr>
        <w:tcBorders>
          <w:top w:val="nil"/>
          <w:left w:val="nil"/>
          <w:bottom w:val="nil"/>
          <w:right w:val="nil"/>
          <w:insideH w:val="single" w:sz="4" w:space="0" w:color="0C73FF" w:themeColor="accent5" w:themeShade="99"/>
          <w:insideV w:val="nil"/>
        </w:tcBorders>
        <w:shd w:val="clear" w:color="auto" w:fill="0C73F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C73FF" w:themeFill="accent5" w:themeFillShade="99"/>
      </w:tcPr>
    </w:tblStylePr>
    <w:tblStylePr w:type="band1Vert">
      <w:tblPr/>
      <w:tcPr>
        <w:shd w:val="clear" w:color="auto" w:fill="E5F0FF" w:themeFill="accent5" w:themeFillTint="66"/>
      </w:tcPr>
    </w:tblStylePr>
    <w:tblStylePr w:type="band1Horz">
      <w:tblPr/>
      <w:tcPr>
        <w:shd w:val="clear" w:color="auto" w:fill="DEECF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locked/>
    <w:rsid w:val="00F80750"/>
    <w:pPr>
      <w:spacing w:after="0" w:line="240" w:lineRule="auto"/>
    </w:pPr>
    <w:rPr>
      <w:color w:val="000000" w:themeColor="text1"/>
    </w:rPr>
    <w:tblPr>
      <w:tblStyleRowBandSize w:val="1"/>
      <w:tblStyleColBandSize w:val="1"/>
      <w:tblInd w:w="0" w:type="dxa"/>
      <w:tblBorders>
        <w:top w:val="single" w:sz="24" w:space="0" w:color="BEDAFF" w:themeColor="accent5"/>
        <w:left w:val="single" w:sz="4" w:space="0" w:color="FFF3D2" w:themeColor="accent6"/>
        <w:bottom w:val="single" w:sz="4" w:space="0" w:color="FFF3D2" w:themeColor="accent6"/>
        <w:right w:val="single" w:sz="4" w:space="0" w:color="FFF3D2"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DFA" w:themeFill="accent6" w:themeFillTint="19"/>
    </w:tcPr>
    <w:tblStylePr w:type="firstRow">
      <w:rPr>
        <w:b/>
        <w:bCs/>
      </w:rPr>
      <w:tblPr/>
      <w:tcPr>
        <w:tcBorders>
          <w:top w:val="nil"/>
          <w:left w:val="nil"/>
          <w:bottom w:val="single" w:sz="24" w:space="0" w:color="BEDAFF"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FFC118" w:themeFill="accent6" w:themeFillShade="99"/>
      </w:tcPr>
    </w:tblStylePr>
    <w:tblStylePr w:type="firstCol">
      <w:rPr>
        <w:color w:val="FFFFFF" w:themeColor="background1"/>
      </w:rPr>
      <w:tblPr/>
      <w:tcPr>
        <w:tcBorders>
          <w:top w:val="nil"/>
          <w:left w:val="nil"/>
          <w:bottom w:val="nil"/>
          <w:right w:val="nil"/>
          <w:insideH w:val="single" w:sz="4" w:space="0" w:color="FFC118" w:themeColor="accent6" w:themeShade="99"/>
          <w:insideV w:val="nil"/>
        </w:tcBorders>
        <w:shd w:val="clear" w:color="auto" w:fill="FFC11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FFC118" w:themeFill="accent6" w:themeFillShade="99"/>
      </w:tcPr>
    </w:tblStylePr>
    <w:tblStylePr w:type="band1Vert">
      <w:tblPr/>
      <w:tcPr>
        <w:shd w:val="clear" w:color="auto" w:fill="FFFAED" w:themeFill="accent6" w:themeFillTint="66"/>
      </w:tcPr>
    </w:tblStylePr>
    <w:tblStylePr w:type="band1Horz">
      <w:tblPr/>
      <w:tcPr>
        <w:shd w:val="clear" w:color="auto" w:fill="FFF8E8"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locked/>
    <w:rsid w:val="00F80750"/>
    <w:rPr>
      <w:noProof w:val="0"/>
      <w:sz w:val="16"/>
      <w:szCs w:val="16"/>
      <w:lang w:val="en-AU"/>
    </w:rPr>
  </w:style>
  <w:style w:type="paragraph" w:styleId="CommentText">
    <w:name w:val="annotation text"/>
    <w:basedOn w:val="Normal"/>
    <w:link w:val="CommentTextChar"/>
    <w:uiPriority w:val="99"/>
    <w:semiHidden/>
    <w:unhideWhenUsed/>
    <w:locked/>
    <w:rsid w:val="00F80750"/>
    <w:pPr>
      <w:spacing w:line="240" w:lineRule="auto"/>
    </w:pPr>
    <w:rPr>
      <w:sz w:val="20"/>
      <w:szCs w:val="20"/>
    </w:rPr>
  </w:style>
  <w:style w:type="character" w:customStyle="1" w:styleId="CommentTextChar">
    <w:name w:val="Comment Text Char"/>
    <w:basedOn w:val="DefaultParagraphFont"/>
    <w:link w:val="CommentText"/>
    <w:uiPriority w:val="99"/>
    <w:semiHidden/>
    <w:rsid w:val="00F80750"/>
    <w:rPr>
      <w:noProof w:val="0"/>
      <w:sz w:val="20"/>
      <w:szCs w:val="20"/>
      <w:lang w:val="en-AU"/>
    </w:rPr>
  </w:style>
  <w:style w:type="paragraph" w:styleId="CommentSubject">
    <w:name w:val="annotation subject"/>
    <w:basedOn w:val="CommentText"/>
    <w:next w:val="CommentText"/>
    <w:link w:val="CommentSubjectChar"/>
    <w:uiPriority w:val="99"/>
    <w:semiHidden/>
    <w:unhideWhenUsed/>
    <w:locked/>
    <w:rsid w:val="00F80750"/>
    <w:rPr>
      <w:b/>
      <w:bCs/>
    </w:rPr>
  </w:style>
  <w:style w:type="character" w:customStyle="1" w:styleId="CommentSubjectChar">
    <w:name w:val="Comment Subject Char"/>
    <w:basedOn w:val="CommentTextChar"/>
    <w:link w:val="CommentSubject"/>
    <w:uiPriority w:val="99"/>
    <w:semiHidden/>
    <w:rsid w:val="00F80750"/>
    <w:rPr>
      <w:b/>
      <w:bCs/>
      <w:noProof w:val="0"/>
      <w:sz w:val="20"/>
      <w:szCs w:val="20"/>
      <w:lang w:val="en-AU"/>
    </w:rPr>
  </w:style>
  <w:style w:type="table" w:customStyle="1" w:styleId="DarkList1">
    <w:name w:val="Dark List1"/>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51BA"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285C"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3C8B"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3C8B" w:themeFill="accent1" w:themeFillShade="BF"/>
      </w:tcPr>
    </w:tblStylePr>
    <w:tblStylePr w:type="band1Vert">
      <w:tblPr/>
      <w:tcPr>
        <w:tcBorders>
          <w:top w:val="nil"/>
          <w:left w:val="nil"/>
          <w:bottom w:val="nil"/>
          <w:right w:val="nil"/>
          <w:insideH w:val="nil"/>
          <w:insideV w:val="nil"/>
        </w:tcBorders>
        <w:shd w:val="clear" w:color="auto" w:fill="003C8B" w:themeFill="accent1" w:themeFillShade="BF"/>
      </w:tcPr>
    </w:tblStylePr>
    <w:tblStylePr w:type="band1Horz">
      <w:tblPr/>
      <w:tcPr>
        <w:tcBorders>
          <w:top w:val="nil"/>
          <w:left w:val="nil"/>
          <w:bottom w:val="nil"/>
          <w:right w:val="nil"/>
          <w:insideH w:val="nil"/>
          <w:insideV w:val="nil"/>
        </w:tcBorders>
        <w:shd w:val="clear" w:color="auto" w:fill="003C8B" w:themeFill="accent1" w:themeFillShade="BF"/>
      </w:tcPr>
    </w:tblStylePr>
  </w:style>
  <w:style w:type="table" w:styleId="DarkList-Accent2">
    <w:name w:val="Dark List Accent 2"/>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FC61E"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D69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D59E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D59E00" w:themeFill="accent2" w:themeFillShade="BF"/>
      </w:tcPr>
    </w:tblStylePr>
    <w:tblStylePr w:type="band1Vert">
      <w:tblPr/>
      <w:tcPr>
        <w:tcBorders>
          <w:top w:val="nil"/>
          <w:left w:val="nil"/>
          <w:bottom w:val="nil"/>
          <w:right w:val="nil"/>
          <w:insideH w:val="nil"/>
          <w:insideV w:val="nil"/>
        </w:tcBorders>
        <w:shd w:val="clear" w:color="auto" w:fill="D59E00" w:themeFill="accent2" w:themeFillShade="BF"/>
      </w:tcPr>
    </w:tblStylePr>
    <w:tblStylePr w:type="band1Horz">
      <w:tblPr/>
      <w:tcPr>
        <w:tcBorders>
          <w:top w:val="nil"/>
          <w:left w:val="nil"/>
          <w:bottom w:val="nil"/>
          <w:right w:val="nil"/>
          <w:insideH w:val="nil"/>
          <w:insideV w:val="nil"/>
        </w:tcBorders>
        <w:shd w:val="clear" w:color="auto" w:fill="D59E00" w:themeFill="accent2" w:themeFillShade="BF"/>
      </w:tcPr>
    </w:tblStylePr>
  </w:style>
  <w:style w:type="table" w:styleId="DarkList-Accent3">
    <w:name w:val="Dark List Accent 3"/>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3C91F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49C"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66E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66EB" w:themeFill="accent3" w:themeFillShade="BF"/>
      </w:tcPr>
    </w:tblStylePr>
    <w:tblStylePr w:type="band1Vert">
      <w:tblPr/>
      <w:tcPr>
        <w:tcBorders>
          <w:top w:val="nil"/>
          <w:left w:val="nil"/>
          <w:bottom w:val="nil"/>
          <w:right w:val="nil"/>
          <w:insideH w:val="nil"/>
          <w:insideV w:val="nil"/>
        </w:tcBorders>
        <w:shd w:val="clear" w:color="auto" w:fill="0066EB" w:themeFill="accent3" w:themeFillShade="BF"/>
      </w:tcPr>
    </w:tblStylePr>
    <w:tblStylePr w:type="band1Horz">
      <w:tblPr/>
      <w:tcPr>
        <w:tcBorders>
          <w:top w:val="nil"/>
          <w:left w:val="nil"/>
          <w:bottom w:val="nil"/>
          <w:right w:val="nil"/>
          <w:insideH w:val="nil"/>
          <w:insideV w:val="nil"/>
        </w:tcBorders>
        <w:shd w:val="clear" w:color="auto" w:fill="0066EB" w:themeFill="accent3" w:themeFillShade="BF"/>
      </w:tcPr>
    </w:tblStylePr>
  </w:style>
  <w:style w:type="table" w:styleId="DarkList-Accent4">
    <w:name w:val="Dark List Accent 4"/>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FDC77"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BA89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FFC31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FFC319" w:themeFill="accent4" w:themeFillShade="BF"/>
      </w:tcPr>
    </w:tblStylePr>
    <w:tblStylePr w:type="band1Vert">
      <w:tblPr/>
      <w:tcPr>
        <w:tcBorders>
          <w:top w:val="nil"/>
          <w:left w:val="nil"/>
          <w:bottom w:val="nil"/>
          <w:right w:val="nil"/>
          <w:insideH w:val="nil"/>
          <w:insideV w:val="nil"/>
        </w:tcBorders>
        <w:shd w:val="clear" w:color="auto" w:fill="FFC319" w:themeFill="accent4" w:themeFillShade="BF"/>
      </w:tcPr>
    </w:tblStylePr>
    <w:tblStylePr w:type="band1Horz">
      <w:tblPr/>
      <w:tcPr>
        <w:tcBorders>
          <w:top w:val="nil"/>
          <w:left w:val="nil"/>
          <w:bottom w:val="nil"/>
          <w:right w:val="nil"/>
          <w:insideH w:val="nil"/>
          <w:insideV w:val="nil"/>
        </w:tcBorders>
        <w:shd w:val="clear" w:color="auto" w:fill="FFC319" w:themeFill="accent4" w:themeFillShade="BF"/>
      </w:tcPr>
    </w:tblStylePr>
  </w:style>
  <w:style w:type="table" w:styleId="DarkList-Accent5">
    <w:name w:val="Dark List Accent 5"/>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BEDAFF"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EDD"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4E99FF"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4E99FF" w:themeFill="accent5" w:themeFillShade="BF"/>
      </w:tcPr>
    </w:tblStylePr>
    <w:tblStylePr w:type="band1Vert">
      <w:tblPr/>
      <w:tcPr>
        <w:tcBorders>
          <w:top w:val="nil"/>
          <w:left w:val="nil"/>
          <w:bottom w:val="nil"/>
          <w:right w:val="nil"/>
          <w:insideH w:val="nil"/>
          <w:insideV w:val="nil"/>
        </w:tcBorders>
        <w:shd w:val="clear" w:color="auto" w:fill="4E99FF" w:themeFill="accent5" w:themeFillShade="BF"/>
      </w:tcPr>
    </w:tblStylePr>
    <w:tblStylePr w:type="band1Horz">
      <w:tblPr/>
      <w:tcPr>
        <w:tcBorders>
          <w:top w:val="nil"/>
          <w:left w:val="nil"/>
          <w:bottom w:val="nil"/>
          <w:right w:val="nil"/>
          <w:insideH w:val="nil"/>
          <w:insideV w:val="nil"/>
        </w:tcBorders>
        <w:shd w:val="clear" w:color="auto" w:fill="4E99FF" w:themeFill="accent5" w:themeFillShade="BF"/>
      </w:tcPr>
    </w:tblStylePr>
  </w:style>
  <w:style w:type="table" w:styleId="DarkList-Accent6">
    <w:name w:val="Dark List Accent 6"/>
    <w:basedOn w:val="TableNormal"/>
    <w:uiPriority w:val="70"/>
    <w:locked/>
    <w:rsid w:val="00F80750"/>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FF3D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E7A90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FFD35D"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FFD35D" w:themeFill="accent6" w:themeFillShade="BF"/>
      </w:tcPr>
    </w:tblStylePr>
    <w:tblStylePr w:type="band1Vert">
      <w:tblPr/>
      <w:tcPr>
        <w:tcBorders>
          <w:top w:val="nil"/>
          <w:left w:val="nil"/>
          <w:bottom w:val="nil"/>
          <w:right w:val="nil"/>
          <w:insideH w:val="nil"/>
          <w:insideV w:val="nil"/>
        </w:tcBorders>
        <w:shd w:val="clear" w:color="auto" w:fill="FFD35D" w:themeFill="accent6" w:themeFillShade="BF"/>
      </w:tcPr>
    </w:tblStylePr>
    <w:tblStylePr w:type="band1Horz">
      <w:tblPr/>
      <w:tcPr>
        <w:tcBorders>
          <w:top w:val="nil"/>
          <w:left w:val="nil"/>
          <w:bottom w:val="nil"/>
          <w:right w:val="nil"/>
          <w:insideH w:val="nil"/>
          <w:insideV w:val="nil"/>
        </w:tcBorders>
        <w:shd w:val="clear" w:color="auto" w:fill="FFD35D" w:themeFill="accent6" w:themeFillShade="BF"/>
      </w:tcPr>
    </w:tblStylePr>
  </w:style>
  <w:style w:type="paragraph" w:styleId="Date">
    <w:name w:val="Date"/>
    <w:basedOn w:val="Normal"/>
    <w:next w:val="Normal"/>
    <w:link w:val="DateChar"/>
    <w:uiPriority w:val="99"/>
    <w:semiHidden/>
    <w:unhideWhenUsed/>
    <w:locked/>
    <w:rsid w:val="00F80750"/>
  </w:style>
  <w:style w:type="character" w:customStyle="1" w:styleId="DateChar">
    <w:name w:val="Date Char"/>
    <w:basedOn w:val="DefaultParagraphFont"/>
    <w:link w:val="Date"/>
    <w:uiPriority w:val="99"/>
    <w:semiHidden/>
    <w:rsid w:val="00F80750"/>
    <w:rPr>
      <w:noProof w:val="0"/>
      <w:lang w:val="en-AU"/>
    </w:rPr>
  </w:style>
  <w:style w:type="paragraph" w:styleId="DocumentMap">
    <w:name w:val="Document Map"/>
    <w:basedOn w:val="Normal"/>
    <w:link w:val="DocumentMapChar"/>
    <w:uiPriority w:val="99"/>
    <w:semiHidden/>
    <w:unhideWhenUsed/>
    <w:locked/>
    <w:rsid w:val="00F8075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80750"/>
    <w:rPr>
      <w:rFonts w:ascii="Tahoma" w:hAnsi="Tahoma" w:cs="Tahoma"/>
      <w:noProof w:val="0"/>
      <w:sz w:val="16"/>
      <w:szCs w:val="16"/>
      <w:lang w:val="en-AU"/>
    </w:rPr>
  </w:style>
  <w:style w:type="paragraph" w:styleId="E-mailSignature">
    <w:name w:val="E-mail Signature"/>
    <w:basedOn w:val="Normal"/>
    <w:link w:val="E-mailSignatureChar"/>
    <w:uiPriority w:val="99"/>
    <w:semiHidden/>
    <w:unhideWhenUsed/>
    <w:locked/>
    <w:rsid w:val="00F80750"/>
    <w:pPr>
      <w:spacing w:after="0" w:line="240" w:lineRule="auto"/>
    </w:pPr>
  </w:style>
  <w:style w:type="character" w:customStyle="1" w:styleId="E-mailSignatureChar">
    <w:name w:val="E-mail Signature Char"/>
    <w:basedOn w:val="DefaultParagraphFont"/>
    <w:link w:val="E-mailSignature"/>
    <w:uiPriority w:val="99"/>
    <w:semiHidden/>
    <w:rsid w:val="00F80750"/>
    <w:rPr>
      <w:noProof w:val="0"/>
      <w:lang w:val="en-AU"/>
    </w:rPr>
  </w:style>
  <w:style w:type="character" w:styleId="Emphasis">
    <w:name w:val="Emphasis"/>
    <w:basedOn w:val="DefaultParagraphFont"/>
    <w:uiPriority w:val="20"/>
    <w:semiHidden/>
    <w:qFormat/>
    <w:locked/>
    <w:rsid w:val="00F80750"/>
    <w:rPr>
      <w:i/>
      <w:iCs/>
      <w:noProof w:val="0"/>
      <w:lang w:val="en-AU"/>
    </w:rPr>
  </w:style>
  <w:style w:type="paragraph" w:styleId="EnvelopeAddress">
    <w:name w:val="envelope address"/>
    <w:basedOn w:val="Normal"/>
    <w:uiPriority w:val="99"/>
    <w:semiHidden/>
    <w:unhideWhenUsed/>
    <w:locked/>
    <w:rsid w:val="00F80750"/>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unhideWhenUsed/>
    <w:locked/>
    <w:rsid w:val="00F80750"/>
    <w:pPr>
      <w:spacing w:after="0"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rsid w:val="00F80750"/>
    <w:rPr>
      <w:noProof w:val="0"/>
      <w:color w:val="003C8B" w:themeColor="followedHyperlink"/>
      <w:u w:val="single"/>
      <w:lang w:val="en-AU"/>
    </w:rPr>
  </w:style>
  <w:style w:type="character" w:styleId="FootnoteReference">
    <w:name w:val="footnote reference"/>
    <w:basedOn w:val="DefaultParagraphFont"/>
    <w:uiPriority w:val="99"/>
    <w:rsid w:val="00F80750"/>
    <w:rPr>
      <w:noProof w:val="0"/>
      <w:vertAlign w:val="superscript"/>
      <w:lang w:val="en-AU"/>
    </w:rPr>
  </w:style>
  <w:style w:type="paragraph" w:styleId="FootnoteText">
    <w:name w:val="footnote text"/>
    <w:basedOn w:val="Normal"/>
    <w:link w:val="FootnoteTextChar"/>
    <w:rsid w:val="008317DE"/>
    <w:pPr>
      <w:spacing w:before="40" w:after="0" w:line="240" w:lineRule="auto"/>
      <w:ind w:left="227" w:hanging="227"/>
    </w:pPr>
    <w:rPr>
      <w:sz w:val="18"/>
      <w:szCs w:val="20"/>
    </w:rPr>
  </w:style>
  <w:style w:type="character" w:customStyle="1" w:styleId="FootnoteTextChar">
    <w:name w:val="Footnote Text Char"/>
    <w:basedOn w:val="DefaultParagraphFont"/>
    <w:link w:val="FootnoteText"/>
    <w:rsid w:val="008317DE"/>
    <w:rPr>
      <w:sz w:val="18"/>
      <w:szCs w:val="20"/>
    </w:rPr>
  </w:style>
  <w:style w:type="character" w:customStyle="1" w:styleId="Heading5Char">
    <w:name w:val="Heading 5 Char"/>
    <w:basedOn w:val="DefaultParagraphFont"/>
    <w:link w:val="Heading5"/>
    <w:uiPriority w:val="9"/>
    <w:semiHidden/>
    <w:rsid w:val="00EE33B0"/>
    <w:rPr>
      <w:rFonts w:asciiTheme="majorHAnsi" w:eastAsiaTheme="majorEastAsia" w:hAnsiTheme="majorHAnsi" w:cstheme="majorBidi"/>
      <w:color w:val="00285C" w:themeColor="accent1" w:themeShade="7F"/>
    </w:rPr>
  </w:style>
  <w:style w:type="character" w:customStyle="1" w:styleId="Heading6Char">
    <w:name w:val="Heading 6 Char"/>
    <w:basedOn w:val="DefaultParagraphFont"/>
    <w:link w:val="Heading6"/>
    <w:uiPriority w:val="9"/>
    <w:semiHidden/>
    <w:rsid w:val="00EE33B0"/>
    <w:rPr>
      <w:rFonts w:asciiTheme="majorHAnsi" w:eastAsiaTheme="majorEastAsia" w:hAnsiTheme="majorHAnsi" w:cstheme="majorBidi"/>
      <w:i/>
      <w:iCs/>
      <w:color w:val="00285C" w:themeColor="accent1" w:themeShade="7F"/>
    </w:rPr>
  </w:style>
  <w:style w:type="character" w:customStyle="1" w:styleId="Heading7Char">
    <w:name w:val="Heading 7 Char"/>
    <w:basedOn w:val="DefaultParagraphFont"/>
    <w:link w:val="Heading7"/>
    <w:uiPriority w:val="9"/>
    <w:semiHidden/>
    <w:rsid w:val="00EE33B0"/>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E33B0"/>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E33B0"/>
    <w:rPr>
      <w:rFonts w:asciiTheme="majorHAnsi" w:eastAsiaTheme="majorEastAsia" w:hAnsiTheme="majorHAnsi" w:cstheme="majorBidi"/>
      <w:i/>
      <w:iCs/>
      <w:color w:val="404040" w:themeColor="text1" w:themeTint="BF"/>
      <w:sz w:val="20"/>
      <w:szCs w:val="20"/>
    </w:rPr>
  </w:style>
  <w:style w:type="character" w:styleId="HTMLAcronym">
    <w:name w:val="HTML Acronym"/>
    <w:basedOn w:val="DefaultParagraphFont"/>
    <w:uiPriority w:val="99"/>
    <w:semiHidden/>
    <w:unhideWhenUsed/>
    <w:locked/>
    <w:rsid w:val="00F80750"/>
    <w:rPr>
      <w:noProof w:val="0"/>
      <w:lang w:val="en-AU"/>
    </w:rPr>
  </w:style>
  <w:style w:type="paragraph" w:styleId="HTMLAddress">
    <w:name w:val="HTML Address"/>
    <w:basedOn w:val="Normal"/>
    <w:link w:val="HTMLAddressChar"/>
    <w:uiPriority w:val="99"/>
    <w:semiHidden/>
    <w:unhideWhenUsed/>
    <w:locked/>
    <w:rsid w:val="00F80750"/>
    <w:pPr>
      <w:spacing w:after="0" w:line="240" w:lineRule="auto"/>
    </w:pPr>
    <w:rPr>
      <w:i/>
      <w:iCs/>
    </w:rPr>
  </w:style>
  <w:style w:type="character" w:customStyle="1" w:styleId="HTMLAddressChar">
    <w:name w:val="HTML Address Char"/>
    <w:basedOn w:val="DefaultParagraphFont"/>
    <w:link w:val="HTMLAddress"/>
    <w:uiPriority w:val="99"/>
    <w:semiHidden/>
    <w:rsid w:val="00F80750"/>
    <w:rPr>
      <w:i/>
      <w:iCs/>
      <w:noProof w:val="0"/>
      <w:lang w:val="en-AU"/>
    </w:rPr>
  </w:style>
  <w:style w:type="character" w:styleId="HTMLCite">
    <w:name w:val="HTML Cite"/>
    <w:basedOn w:val="DefaultParagraphFont"/>
    <w:uiPriority w:val="99"/>
    <w:semiHidden/>
    <w:unhideWhenUsed/>
    <w:locked/>
    <w:rsid w:val="00F80750"/>
    <w:rPr>
      <w:i/>
      <w:iCs/>
      <w:noProof w:val="0"/>
      <w:lang w:val="en-AU"/>
    </w:rPr>
  </w:style>
  <w:style w:type="character" w:styleId="HTMLCode">
    <w:name w:val="HTML Code"/>
    <w:basedOn w:val="DefaultParagraphFont"/>
    <w:uiPriority w:val="99"/>
    <w:semiHidden/>
    <w:unhideWhenUsed/>
    <w:locked/>
    <w:rsid w:val="00F80750"/>
    <w:rPr>
      <w:rFonts w:ascii="Consolas" w:hAnsi="Consolas"/>
      <w:noProof w:val="0"/>
      <w:sz w:val="20"/>
      <w:szCs w:val="20"/>
      <w:lang w:val="en-AU"/>
    </w:rPr>
  </w:style>
  <w:style w:type="character" w:styleId="HTMLDefinition">
    <w:name w:val="HTML Definition"/>
    <w:basedOn w:val="DefaultParagraphFont"/>
    <w:uiPriority w:val="99"/>
    <w:semiHidden/>
    <w:unhideWhenUsed/>
    <w:locked/>
    <w:rsid w:val="00F80750"/>
    <w:rPr>
      <w:i/>
      <w:iCs/>
      <w:noProof w:val="0"/>
      <w:lang w:val="en-AU"/>
    </w:rPr>
  </w:style>
  <w:style w:type="character" w:styleId="HTMLKeyboard">
    <w:name w:val="HTML Keyboard"/>
    <w:basedOn w:val="DefaultParagraphFont"/>
    <w:uiPriority w:val="99"/>
    <w:semiHidden/>
    <w:unhideWhenUsed/>
    <w:locked/>
    <w:rsid w:val="00F80750"/>
    <w:rPr>
      <w:rFonts w:ascii="Consolas" w:hAnsi="Consolas"/>
      <w:noProof w:val="0"/>
      <w:sz w:val="20"/>
      <w:szCs w:val="20"/>
      <w:lang w:val="en-AU"/>
    </w:rPr>
  </w:style>
  <w:style w:type="paragraph" w:styleId="HTMLPreformatted">
    <w:name w:val="HTML Preformatted"/>
    <w:basedOn w:val="Normal"/>
    <w:link w:val="HTMLPreformattedChar"/>
    <w:uiPriority w:val="99"/>
    <w:semiHidden/>
    <w:unhideWhenUsed/>
    <w:locked/>
    <w:rsid w:val="00F80750"/>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80750"/>
    <w:rPr>
      <w:rFonts w:ascii="Consolas" w:hAnsi="Consolas"/>
      <w:noProof w:val="0"/>
      <w:sz w:val="20"/>
      <w:szCs w:val="20"/>
      <w:lang w:val="en-AU"/>
    </w:rPr>
  </w:style>
  <w:style w:type="character" w:styleId="HTMLSample">
    <w:name w:val="HTML Sample"/>
    <w:basedOn w:val="DefaultParagraphFont"/>
    <w:uiPriority w:val="99"/>
    <w:semiHidden/>
    <w:unhideWhenUsed/>
    <w:locked/>
    <w:rsid w:val="00F80750"/>
    <w:rPr>
      <w:rFonts w:ascii="Consolas" w:hAnsi="Consolas"/>
      <w:noProof w:val="0"/>
      <w:sz w:val="24"/>
      <w:szCs w:val="24"/>
      <w:lang w:val="en-AU"/>
    </w:rPr>
  </w:style>
  <w:style w:type="character" w:styleId="HTMLTypewriter">
    <w:name w:val="HTML Typewriter"/>
    <w:basedOn w:val="DefaultParagraphFont"/>
    <w:uiPriority w:val="99"/>
    <w:semiHidden/>
    <w:unhideWhenUsed/>
    <w:locked/>
    <w:rsid w:val="00F80750"/>
    <w:rPr>
      <w:rFonts w:ascii="Consolas" w:hAnsi="Consolas"/>
      <w:noProof w:val="0"/>
      <w:sz w:val="20"/>
      <w:szCs w:val="20"/>
      <w:lang w:val="en-AU"/>
    </w:rPr>
  </w:style>
  <w:style w:type="character" w:styleId="HTMLVariable">
    <w:name w:val="HTML Variable"/>
    <w:basedOn w:val="DefaultParagraphFont"/>
    <w:uiPriority w:val="99"/>
    <w:semiHidden/>
    <w:unhideWhenUsed/>
    <w:locked/>
    <w:rsid w:val="00F80750"/>
    <w:rPr>
      <w:i/>
      <w:iCs/>
      <w:noProof w:val="0"/>
      <w:lang w:val="en-AU"/>
    </w:rPr>
  </w:style>
  <w:style w:type="paragraph" w:styleId="Index1">
    <w:name w:val="index 1"/>
    <w:basedOn w:val="Normal"/>
    <w:next w:val="Normal"/>
    <w:autoRedefine/>
    <w:uiPriority w:val="99"/>
    <w:semiHidden/>
    <w:unhideWhenUsed/>
    <w:locked/>
    <w:rsid w:val="00F80750"/>
    <w:pPr>
      <w:spacing w:after="0" w:line="240" w:lineRule="auto"/>
      <w:ind w:left="190" w:hanging="190"/>
    </w:pPr>
  </w:style>
  <w:style w:type="paragraph" w:styleId="Index2">
    <w:name w:val="index 2"/>
    <w:basedOn w:val="Normal"/>
    <w:next w:val="Normal"/>
    <w:autoRedefine/>
    <w:uiPriority w:val="99"/>
    <w:semiHidden/>
    <w:unhideWhenUsed/>
    <w:locked/>
    <w:rsid w:val="00F80750"/>
    <w:pPr>
      <w:spacing w:after="0" w:line="240" w:lineRule="auto"/>
      <w:ind w:left="380" w:hanging="190"/>
    </w:pPr>
  </w:style>
  <w:style w:type="paragraph" w:styleId="Index3">
    <w:name w:val="index 3"/>
    <w:basedOn w:val="Normal"/>
    <w:next w:val="Normal"/>
    <w:autoRedefine/>
    <w:uiPriority w:val="99"/>
    <w:semiHidden/>
    <w:unhideWhenUsed/>
    <w:locked/>
    <w:rsid w:val="00F80750"/>
    <w:pPr>
      <w:spacing w:after="0" w:line="240" w:lineRule="auto"/>
      <w:ind w:left="570" w:hanging="190"/>
    </w:pPr>
  </w:style>
  <w:style w:type="paragraph" w:styleId="Index4">
    <w:name w:val="index 4"/>
    <w:basedOn w:val="Normal"/>
    <w:next w:val="Normal"/>
    <w:autoRedefine/>
    <w:uiPriority w:val="99"/>
    <w:semiHidden/>
    <w:unhideWhenUsed/>
    <w:locked/>
    <w:rsid w:val="00F80750"/>
    <w:pPr>
      <w:spacing w:after="0" w:line="240" w:lineRule="auto"/>
      <w:ind w:left="760" w:hanging="190"/>
    </w:pPr>
  </w:style>
  <w:style w:type="paragraph" w:styleId="Index5">
    <w:name w:val="index 5"/>
    <w:basedOn w:val="Normal"/>
    <w:next w:val="Normal"/>
    <w:autoRedefine/>
    <w:uiPriority w:val="99"/>
    <w:semiHidden/>
    <w:unhideWhenUsed/>
    <w:locked/>
    <w:rsid w:val="00F80750"/>
    <w:pPr>
      <w:spacing w:after="0" w:line="240" w:lineRule="auto"/>
      <w:ind w:left="950" w:hanging="190"/>
    </w:pPr>
  </w:style>
  <w:style w:type="paragraph" w:styleId="Index6">
    <w:name w:val="index 6"/>
    <w:basedOn w:val="Normal"/>
    <w:next w:val="Normal"/>
    <w:autoRedefine/>
    <w:uiPriority w:val="99"/>
    <w:semiHidden/>
    <w:unhideWhenUsed/>
    <w:locked/>
    <w:rsid w:val="00F80750"/>
    <w:pPr>
      <w:spacing w:after="0" w:line="240" w:lineRule="auto"/>
      <w:ind w:left="1140" w:hanging="190"/>
    </w:pPr>
  </w:style>
  <w:style w:type="paragraph" w:styleId="Index7">
    <w:name w:val="index 7"/>
    <w:basedOn w:val="Normal"/>
    <w:next w:val="Normal"/>
    <w:autoRedefine/>
    <w:uiPriority w:val="99"/>
    <w:semiHidden/>
    <w:unhideWhenUsed/>
    <w:locked/>
    <w:rsid w:val="00F80750"/>
    <w:pPr>
      <w:spacing w:after="0" w:line="240" w:lineRule="auto"/>
      <w:ind w:left="1330" w:hanging="190"/>
    </w:pPr>
  </w:style>
  <w:style w:type="paragraph" w:styleId="Index8">
    <w:name w:val="index 8"/>
    <w:basedOn w:val="Normal"/>
    <w:next w:val="Normal"/>
    <w:autoRedefine/>
    <w:uiPriority w:val="99"/>
    <w:semiHidden/>
    <w:unhideWhenUsed/>
    <w:locked/>
    <w:rsid w:val="00F80750"/>
    <w:pPr>
      <w:spacing w:after="0" w:line="240" w:lineRule="auto"/>
      <w:ind w:left="1520" w:hanging="190"/>
    </w:pPr>
  </w:style>
  <w:style w:type="paragraph" w:styleId="Index9">
    <w:name w:val="index 9"/>
    <w:basedOn w:val="Normal"/>
    <w:next w:val="Normal"/>
    <w:autoRedefine/>
    <w:uiPriority w:val="99"/>
    <w:semiHidden/>
    <w:unhideWhenUsed/>
    <w:locked/>
    <w:rsid w:val="00F80750"/>
    <w:pPr>
      <w:spacing w:after="0" w:line="240" w:lineRule="auto"/>
      <w:ind w:left="1710" w:hanging="190"/>
    </w:pPr>
  </w:style>
  <w:style w:type="paragraph" w:styleId="IndexHeading">
    <w:name w:val="index heading"/>
    <w:basedOn w:val="Normal"/>
    <w:next w:val="Index1"/>
    <w:uiPriority w:val="99"/>
    <w:semiHidden/>
    <w:unhideWhenUsed/>
    <w:locked/>
    <w:rsid w:val="00F80750"/>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F80750"/>
    <w:rPr>
      <w:b/>
      <w:bCs/>
      <w:i/>
      <w:iCs/>
      <w:noProof w:val="0"/>
      <w:color w:val="0051BA" w:themeColor="accent1"/>
      <w:lang w:val="en-AU"/>
    </w:rPr>
  </w:style>
  <w:style w:type="paragraph" w:styleId="IntenseQuote">
    <w:name w:val="Intense Quote"/>
    <w:basedOn w:val="Normal"/>
    <w:next w:val="Normal"/>
    <w:link w:val="IntenseQuoteChar"/>
    <w:uiPriority w:val="30"/>
    <w:semiHidden/>
    <w:qFormat/>
    <w:locked/>
    <w:rsid w:val="00F80750"/>
    <w:pPr>
      <w:pBdr>
        <w:bottom w:val="single" w:sz="4" w:space="4" w:color="0051BA" w:themeColor="accent1"/>
      </w:pBdr>
      <w:spacing w:before="200" w:after="280"/>
      <w:ind w:left="936" w:right="936"/>
    </w:pPr>
    <w:rPr>
      <w:b/>
      <w:bCs/>
      <w:i/>
      <w:iCs/>
      <w:color w:val="0051BA" w:themeColor="accent1"/>
    </w:rPr>
  </w:style>
  <w:style w:type="character" w:customStyle="1" w:styleId="IntenseQuoteChar">
    <w:name w:val="Intense Quote Char"/>
    <w:basedOn w:val="DefaultParagraphFont"/>
    <w:link w:val="IntenseQuote"/>
    <w:uiPriority w:val="30"/>
    <w:semiHidden/>
    <w:rsid w:val="00F80750"/>
    <w:rPr>
      <w:b/>
      <w:bCs/>
      <w:i/>
      <w:iCs/>
      <w:noProof w:val="0"/>
      <w:color w:val="0051BA" w:themeColor="accent1"/>
      <w:lang w:val="en-AU"/>
    </w:rPr>
  </w:style>
  <w:style w:type="character" w:styleId="IntenseReference">
    <w:name w:val="Intense Reference"/>
    <w:basedOn w:val="DefaultParagraphFont"/>
    <w:uiPriority w:val="32"/>
    <w:semiHidden/>
    <w:qFormat/>
    <w:locked/>
    <w:rsid w:val="00F80750"/>
    <w:rPr>
      <w:b/>
      <w:bCs/>
      <w:smallCaps/>
      <w:noProof w:val="0"/>
      <w:color w:val="FFC61E" w:themeColor="accent2"/>
      <w:spacing w:val="5"/>
      <w:u w:val="single"/>
      <w:lang w:val="en-AU"/>
    </w:rPr>
  </w:style>
  <w:style w:type="table" w:customStyle="1" w:styleId="LightGrid1">
    <w:name w:val="Light Grid1"/>
    <w:basedOn w:val="TableNormal"/>
    <w:uiPriority w:val="62"/>
    <w:locked/>
    <w:rsid w:val="00F8075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LightGrid-Accent11">
    <w:name w:val="Light Grid - Accent 11"/>
    <w:basedOn w:val="TableNormal"/>
    <w:uiPriority w:val="62"/>
    <w:locked/>
    <w:rsid w:val="00F80750"/>
    <w:pPr>
      <w:spacing w:after="0" w:line="240" w:lineRule="auto"/>
    </w:pPr>
    <w:tblPr>
      <w:tblStyleRowBandSize w:val="1"/>
      <w:tblStyleColBandSize w:val="1"/>
      <w:tblInd w:w="0" w:type="dxa"/>
      <w:tblBorders>
        <w:top w:val="single" w:sz="8" w:space="0" w:color="0051BA" w:themeColor="accent1"/>
        <w:left w:val="single" w:sz="8" w:space="0" w:color="0051BA" w:themeColor="accent1"/>
        <w:bottom w:val="single" w:sz="8" w:space="0" w:color="0051BA" w:themeColor="accent1"/>
        <w:right w:val="single" w:sz="8" w:space="0" w:color="0051BA" w:themeColor="accent1"/>
        <w:insideH w:val="single" w:sz="8" w:space="0" w:color="0051BA" w:themeColor="accent1"/>
        <w:insideV w:val="single" w:sz="8" w:space="0" w:color="0051BA"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51BA" w:themeColor="accent1"/>
          <w:left w:val="single" w:sz="8" w:space="0" w:color="0051BA" w:themeColor="accent1"/>
          <w:bottom w:val="single" w:sz="18" w:space="0" w:color="0051BA" w:themeColor="accent1"/>
          <w:right w:val="single" w:sz="8" w:space="0" w:color="0051BA" w:themeColor="accent1"/>
          <w:insideH w:val="nil"/>
          <w:insideV w:val="single" w:sz="8" w:space="0" w:color="0051BA"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51BA" w:themeColor="accent1"/>
          <w:left w:val="single" w:sz="8" w:space="0" w:color="0051BA" w:themeColor="accent1"/>
          <w:bottom w:val="single" w:sz="8" w:space="0" w:color="0051BA" w:themeColor="accent1"/>
          <w:right w:val="single" w:sz="8" w:space="0" w:color="0051BA" w:themeColor="accent1"/>
          <w:insideH w:val="nil"/>
          <w:insideV w:val="single" w:sz="8" w:space="0" w:color="0051BA"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51BA" w:themeColor="accent1"/>
          <w:left w:val="single" w:sz="8" w:space="0" w:color="0051BA" w:themeColor="accent1"/>
          <w:bottom w:val="single" w:sz="8" w:space="0" w:color="0051BA" w:themeColor="accent1"/>
          <w:right w:val="single" w:sz="8" w:space="0" w:color="0051BA" w:themeColor="accent1"/>
        </w:tcBorders>
      </w:tcPr>
    </w:tblStylePr>
    <w:tblStylePr w:type="band1Vert">
      <w:tblPr/>
      <w:tcPr>
        <w:tcBorders>
          <w:top w:val="single" w:sz="8" w:space="0" w:color="0051BA" w:themeColor="accent1"/>
          <w:left w:val="single" w:sz="8" w:space="0" w:color="0051BA" w:themeColor="accent1"/>
          <w:bottom w:val="single" w:sz="8" w:space="0" w:color="0051BA" w:themeColor="accent1"/>
          <w:right w:val="single" w:sz="8" w:space="0" w:color="0051BA" w:themeColor="accent1"/>
        </w:tcBorders>
        <w:shd w:val="clear" w:color="auto" w:fill="AED1FF" w:themeFill="accent1" w:themeFillTint="3F"/>
      </w:tcPr>
    </w:tblStylePr>
    <w:tblStylePr w:type="band1Horz">
      <w:tblPr/>
      <w:tcPr>
        <w:tcBorders>
          <w:top w:val="single" w:sz="8" w:space="0" w:color="0051BA" w:themeColor="accent1"/>
          <w:left w:val="single" w:sz="8" w:space="0" w:color="0051BA" w:themeColor="accent1"/>
          <w:bottom w:val="single" w:sz="8" w:space="0" w:color="0051BA" w:themeColor="accent1"/>
          <w:right w:val="single" w:sz="8" w:space="0" w:color="0051BA" w:themeColor="accent1"/>
          <w:insideV w:val="single" w:sz="8" w:space="0" w:color="0051BA" w:themeColor="accent1"/>
        </w:tcBorders>
        <w:shd w:val="clear" w:color="auto" w:fill="AED1FF" w:themeFill="accent1" w:themeFillTint="3F"/>
      </w:tcPr>
    </w:tblStylePr>
    <w:tblStylePr w:type="band2Horz">
      <w:tblPr/>
      <w:tcPr>
        <w:tcBorders>
          <w:top w:val="single" w:sz="8" w:space="0" w:color="0051BA" w:themeColor="accent1"/>
          <w:left w:val="single" w:sz="8" w:space="0" w:color="0051BA" w:themeColor="accent1"/>
          <w:bottom w:val="single" w:sz="8" w:space="0" w:color="0051BA" w:themeColor="accent1"/>
          <w:right w:val="single" w:sz="8" w:space="0" w:color="0051BA" w:themeColor="accent1"/>
          <w:insideV w:val="single" w:sz="8" w:space="0" w:color="0051BA" w:themeColor="accent1"/>
        </w:tcBorders>
      </w:tcPr>
    </w:tblStylePr>
  </w:style>
  <w:style w:type="table" w:styleId="LightGrid-Accent2">
    <w:name w:val="Light Grid Accent 2"/>
    <w:basedOn w:val="TableNormal"/>
    <w:uiPriority w:val="62"/>
    <w:locked/>
    <w:rsid w:val="00F80750"/>
    <w:pPr>
      <w:spacing w:after="0" w:line="240" w:lineRule="auto"/>
    </w:pPr>
    <w:tblPr>
      <w:tblStyleRowBandSize w:val="1"/>
      <w:tblStyleColBandSize w:val="1"/>
      <w:tblInd w:w="0" w:type="dxa"/>
      <w:tblBorders>
        <w:top w:val="single" w:sz="8" w:space="0" w:color="FFC61E" w:themeColor="accent2"/>
        <w:left w:val="single" w:sz="8" w:space="0" w:color="FFC61E" w:themeColor="accent2"/>
        <w:bottom w:val="single" w:sz="8" w:space="0" w:color="FFC61E" w:themeColor="accent2"/>
        <w:right w:val="single" w:sz="8" w:space="0" w:color="FFC61E" w:themeColor="accent2"/>
        <w:insideH w:val="single" w:sz="8" w:space="0" w:color="FFC61E" w:themeColor="accent2"/>
        <w:insideV w:val="single" w:sz="8" w:space="0" w:color="FFC61E"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FC61E" w:themeColor="accent2"/>
          <w:left w:val="single" w:sz="8" w:space="0" w:color="FFC61E" w:themeColor="accent2"/>
          <w:bottom w:val="single" w:sz="18" w:space="0" w:color="FFC61E" w:themeColor="accent2"/>
          <w:right w:val="single" w:sz="8" w:space="0" w:color="FFC61E" w:themeColor="accent2"/>
          <w:insideH w:val="nil"/>
          <w:insideV w:val="single" w:sz="8" w:space="0" w:color="FFC61E"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61E" w:themeColor="accent2"/>
          <w:left w:val="single" w:sz="8" w:space="0" w:color="FFC61E" w:themeColor="accent2"/>
          <w:bottom w:val="single" w:sz="8" w:space="0" w:color="FFC61E" w:themeColor="accent2"/>
          <w:right w:val="single" w:sz="8" w:space="0" w:color="FFC61E" w:themeColor="accent2"/>
          <w:insideH w:val="nil"/>
          <w:insideV w:val="single" w:sz="8" w:space="0" w:color="FFC61E"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61E" w:themeColor="accent2"/>
          <w:left w:val="single" w:sz="8" w:space="0" w:color="FFC61E" w:themeColor="accent2"/>
          <w:bottom w:val="single" w:sz="8" w:space="0" w:color="FFC61E" w:themeColor="accent2"/>
          <w:right w:val="single" w:sz="8" w:space="0" w:color="FFC61E" w:themeColor="accent2"/>
        </w:tcBorders>
      </w:tcPr>
    </w:tblStylePr>
    <w:tblStylePr w:type="band1Vert">
      <w:tblPr/>
      <w:tcPr>
        <w:tcBorders>
          <w:top w:val="single" w:sz="8" w:space="0" w:color="FFC61E" w:themeColor="accent2"/>
          <w:left w:val="single" w:sz="8" w:space="0" w:color="FFC61E" w:themeColor="accent2"/>
          <w:bottom w:val="single" w:sz="8" w:space="0" w:color="FFC61E" w:themeColor="accent2"/>
          <w:right w:val="single" w:sz="8" w:space="0" w:color="FFC61E" w:themeColor="accent2"/>
        </w:tcBorders>
        <w:shd w:val="clear" w:color="auto" w:fill="FFF0C7" w:themeFill="accent2" w:themeFillTint="3F"/>
      </w:tcPr>
    </w:tblStylePr>
    <w:tblStylePr w:type="band1Horz">
      <w:tblPr/>
      <w:tcPr>
        <w:tcBorders>
          <w:top w:val="single" w:sz="8" w:space="0" w:color="FFC61E" w:themeColor="accent2"/>
          <w:left w:val="single" w:sz="8" w:space="0" w:color="FFC61E" w:themeColor="accent2"/>
          <w:bottom w:val="single" w:sz="8" w:space="0" w:color="FFC61E" w:themeColor="accent2"/>
          <w:right w:val="single" w:sz="8" w:space="0" w:color="FFC61E" w:themeColor="accent2"/>
          <w:insideV w:val="single" w:sz="8" w:space="0" w:color="FFC61E" w:themeColor="accent2"/>
        </w:tcBorders>
        <w:shd w:val="clear" w:color="auto" w:fill="FFF0C7" w:themeFill="accent2" w:themeFillTint="3F"/>
      </w:tcPr>
    </w:tblStylePr>
    <w:tblStylePr w:type="band2Horz">
      <w:tblPr/>
      <w:tcPr>
        <w:tcBorders>
          <w:top w:val="single" w:sz="8" w:space="0" w:color="FFC61E" w:themeColor="accent2"/>
          <w:left w:val="single" w:sz="8" w:space="0" w:color="FFC61E" w:themeColor="accent2"/>
          <w:bottom w:val="single" w:sz="8" w:space="0" w:color="FFC61E" w:themeColor="accent2"/>
          <w:right w:val="single" w:sz="8" w:space="0" w:color="FFC61E" w:themeColor="accent2"/>
          <w:insideV w:val="single" w:sz="8" w:space="0" w:color="FFC61E" w:themeColor="accent2"/>
        </w:tcBorders>
      </w:tcPr>
    </w:tblStylePr>
  </w:style>
  <w:style w:type="table" w:styleId="LightGrid-Accent3">
    <w:name w:val="Light Grid Accent 3"/>
    <w:basedOn w:val="TableNormal"/>
    <w:uiPriority w:val="62"/>
    <w:locked/>
    <w:rsid w:val="00F80750"/>
    <w:pPr>
      <w:spacing w:after="0" w:line="240" w:lineRule="auto"/>
    </w:pPr>
    <w:tblPr>
      <w:tblStyleRowBandSize w:val="1"/>
      <w:tblStyleColBandSize w:val="1"/>
      <w:tblInd w:w="0" w:type="dxa"/>
      <w:tblBorders>
        <w:top w:val="single" w:sz="8" w:space="0" w:color="3C91FF" w:themeColor="accent3"/>
        <w:left w:val="single" w:sz="8" w:space="0" w:color="3C91FF" w:themeColor="accent3"/>
        <w:bottom w:val="single" w:sz="8" w:space="0" w:color="3C91FF" w:themeColor="accent3"/>
        <w:right w:val="single" w:sz="8" w:space="0" w:color="3C91FF" w:themeColor="accent3"/>
        <w:insideH w:val="single" w:sz="8" w:space="0" w:color="3C91FF" w:themeColor="accent3"/>
        <w:insideV w:val="single" w:sz="8" w:space="0" w:color="3C91FF"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3C91FF" w:themeColor="accent3"/>
          <w:left w:val="single" w:sz="8" w:space="0" w:color="3C91FF" w:themeColor="accent3"/>
          <w:bottom w:val="single" w:sz="18" w:space="0" w:color="3C91FF" w:themeColor="accent3"/>
          <w:right w:val="single" w:sz="8" w:space="0" w:color="3C91FF" w:themeColor="accent3"/>
          <w:insideH w:val="nil"/>
          <w:insideV w:val="single" w:sz="8" w:space="0" w:color="3C91F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C91FF" w:themeColor="accent3"/>
          <w:left w:val="single" w:sz="8" w:space="0" w:color="3C91FF" w:themeColor="accent3"/>
          <w:bottom w:val="single" w:sz="8" w:space="0" w:color="3C91FF" w:themeColor="accent3"/>
          <w:right w:val="single" w:sz="8" w:space="0" w:color="3C91FF" w:themeColor="accent3"/>
          <w:insideH w:val="nil"/>
          <w:insideV w:val="single" w:sz="8" w:space="0" w:color="3C91F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C91FF" w:themeColor="accent3"/>
          <w:left w:val="single" w:sz="8" w:space="0" w:color="3C91FF" w:themeColor="accent3"/>
          <w:bottom w:val="single" w:sz="8" w:space="0" w:color="3C91FF" w:themeColor="accent3"/>
          <w:right w:val="single" w:sz="8" w:space="0" w:color="3C91FF" w:themeColor="accent3"/>
        </w:tcBorders>
      </w:tcPr>
    </w:tblStylePr>
    <w:tblStylePr w:type="band1Vert">
      <w:tblPr/>
      <w:tcPr>
        <w:tcBorders>
          <w:top w:val="single" w:sz="8" w:space="0" w:color="3C91FF" w:themeColor="accent3"/>
          <w:left w:val="single" w:sz="8" w:space="0" w:color="3C91FF" w:themeColor="accent3"/>
          <w:bottom w:val="single" w:sz="8" w:space="0" w:color="3C91FF" w:themeColor="accent3"/>
          <w:right w:val="single" w:sz="8" w:space="0" w:color="3C91FF" w:themeColor="accent3"/>
        </w:tcBorders>
        <w:shd w:val="clear" w:color="auto" w:fill="CEE3FF" w:themeFill="accent3" w:themeFillTint="3F"/>
      </w:tcPr>
    </w:tblStylePr>
    <w:tblStylePr w:type="band1Horz">
      <w:tblPr/>
      <w:tcPr>
        <w:tcBorders>
          <w:top w:val="single" w:sz="8" w:space="0" w:color="3C91FF" w:themeColor="accent3"/>
          <w:left w:val="single" w:sz="8" w:space="0" w:color="3C91FF" w:themeColor="accent3"/>
          <w:bottom w:val="single" w:sz="8" w:space="0" w:color="3C91FF" w:themeColor="accent3"/>
          <w:right w:val="single" w:sz="8" w:space="0" w:color="3C91FF" w:themeColor="accent3"/>
          <w:insideV w:val="single" w:sz="8" w:space="0" w:color="3C91FF" w:themeColor="accent3"/>
        </w:tcBorders>
        <w:shd w:val="clear" w:color="auto" w:fill="CEE3FF" w:themeFill="accent3" w:themeFillTint="3F"/>
      </w:tcPr>
    </w:tblStylePr>
    <w:tblStylePr w:type="band2Horz">
      <w:tblPr/>
      <w:tcPr>
        <w:tcBorders>
          <w:top w:val="single" w:sz="8" w:space="0" w:color="3C91FF" w:themeColor="accent3"/>
          <w:left w:val="single" w:sz="8" w:space="0" w:color="3C91FF" w:themeColor="accent3"/>
          <w:bottom w:val="single" w:sz="8" w:space="0" w:color="3C91FF" w:themeColor="accent3"/>
          <w:right w:val="single" w:sz="8" w:space="0" w:color="3C91FF" w:themeColor="accent3"/>
          <w:insideV w:val="single" w:sz="8" w:space="0" w:color="3C91FF" w:themeColor="accent3"/>
        </w:tcBorders>
      </w:tcPr>
    </w:tblStylePr>
  </w:style>
  <w:style w:type="table" w:styleId="LightGrid-Accent4">
    <w:name w:val="Light Grid Accent 4"/>
    <w:basedOn w:val="TableNormal"/>
    <w:uiPriority w:val="62"/>
    <w:locked/>
    <w:rsid w:val="00F80750"/>
    <w:pPr>
      <w:spacing w:after="0" w:line="240" w:lineRule="auto"/>
    </w:pPr>
    <w:tblPr>
      <w:tblStyleRowBandSize w:val="1"/>
      <w:tblStyleColBandSize w:val="1"/>
      <w:tblInd w:w="0" w:type="dxa"/>
      <w:tblBorders>
        <w:top w:val="single" w:sz="8" w:space="0" w:color="FFDC77" w:themeColor="accent4"/>
        <w:left w:val="single" w:sz="8" w:space="0" w:color="FFDC77" w:themeColor="accent4"/>
        <w:bottom w:val="single" w:sz="8" w:space="0" w:color="FFDC77" w:themeColor="accent4"/>
        <w:right w:val="single" w:sz="8" w:space="0" w:color="FFDC77" w:themeColor="accent4"/>
        <w:insideH w:val="single" w:sz="8" w:space="0" w:color="FFDC77" w:themeColor="accent4"/>
        <w:insideV w:val="single" w:sz="8" w:space="0" w:color="FFDC77"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FDC77" w:themeColor="accent4"/>
          <w:left w:val="single" w:sz="8" w:space="0" w:color="FFDC77" w:themeColor="accent4"/>
          <w:bottom w:val="single" w:sz="18" w:space="0" w:color="FFDC77" w:themeColor="accent4"/>
          <w:right w:val="single" w:sz="8" w:space="0" w:color="FFDC77" w:themeColor="accent4"/>
          <w:insideH w:val="nil"/>
          <w:insideV w:val="single" w:sz="8" w:space="0" w:color="FFDC77"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DC77" w:themeColor="accent4"/>
          <w:left w:val="single" w:sz="8" w:space="0" w:color="FFDC77" w:themeColor="accent4"/>
          <w:bottom w:val="single" w:sz="8" w:space="0" w:color="FFDC77" w:themeColor="accent4"/>
          <w:right w:val="single" w:sz="8" w:space="0" w:color="FFDC77" w:themeColor="accent4"/>
          <w:insideH w:val="nil"/>
          <w:insideV w:val="single" w:sz="8" w:space="0" w:color="FFDC77"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DC77" w:themeColor="accent4"/>
          <w:left w:val="single" w:sz="8" w:space="0" w:color="FFDC77" w:themeColor="accent4"/>
          <w:bottom w:val="single" w:sz="8" w:space="0" w:color="FFDC77" w:themeColor="accent4"/>
          <w:right w:val="single" w:sz="8" w:space="0" w:color="FFDC77" w:themeColor="accent4"/>
        </w:tcBorders>
      </w:tcPr>
    </w:tblStylePr>
    <w:tblStylePr w:type="band1Vert">
      <w:tblPr/>
      <w:tcPr>
        <w:tcBorders>
          <w:top w:val="single" w:sz="8" w:space="0" w:color="FFDC77" w:themeColor="accent4"/>
          <w:left w:val="single" w:sz="8" w:space="0" w:color="FFDC77" w:themeColor="accent4"/>
          <w:bottom w:val="single" w:sz="8" w:space="0" w:color="FFDC77" w:themeColor="accent4"/>
          <w:right w:val="single" w:sz="8" w:space="0" w:color="FFDC77" w:themeColor="accent4"/>
        </w:tcBorders>
        <w:shd w:val="clear" w:color="auto" w:fill="FFF6DD" w:themeFill="accent4" w:themeFillTint="3F"/>
      </w:tcPr>
    </w:tblStylePr>
    <w:tblStylePr w:type="band1Horz">
      <w:tblPr/>
      <w:tcPr>
        <w:tcBorders>
          <w:top w:val="single" w:sz="8" w:space="0" w:color="FFDC77" w:themeColor="accent4"/>
          <w:left w:val="single" w:sz="8" w:space="0" w:color="FFDC77" w:themeColor="accent4"/>
          <w:bottom w:val="single" w:sz="8" w:space="0" w:color="FFDC77" w:themeColor="accent4"/>
          <w:right w:val="single" w:sz="8" w:space="0" w:color="FFDC77" w:themeColor="accent4"/>
          <w:insideV w:val="single" w:sz="8" w:space="0" w:color="FFDC77" w:themeColor="accent4"/>
        </w:tcBorders>
        <w:shd w:val="clear" w:color="auto" w:fill="FFF6DD" w:themeFill="accent4" w:themeFillTint="3F"/>
      </w:tcPr>
    </w:tblStylePr>
    <w:tblStylePr w:type="band2Horz">
      <w:tblPr/>
      <w:tcPr>
        <w:tcBorders>
          <w:top w:val="single" w:sz="8" w:space="0" w:color="FFDC77" w:themeColor="accent4"/>
          <w:left w:val="single" w:sz="8" w:space="0" w:color="FFDC77" w:themeColor="accent4"/>
          <w:bottom w:val="single" w:sz="8" w:space="0" w:color="FFDC77" w:themeColor="accent4"/>
          <w:right w:val="single" w:sz="8" w:space="0" w:color="FFDC77" w:themeColor="accent4"/>
          <w:insideV w:val="single" w:sz="8" w:space="0" w:color="FFDC77" w:themeColor="accent4"/>
        </w:tcBorders>
      </w:tcPr>
    </w:tblStylePr>
  </w:style>
  <w:style w:type="table" w:styleId="LightGrid-Accent5">
    <w:name w:val="Light Grid Accent 5"/>
    <w:basedOn w:val="TableNormal"/>
    <w:uiPriority w:val="62"/>
    <w:locked/>
    <w:rsid w:val="00F80750"/>
    <w:pPr>
      <w:spacing w:after="0" w:line="240" w:lineRule="auto"/>
    </w:pPr>
    <w:tblPr>
      <w:tblStyleRowBandSize w:val="1"/>
      <w:tblStyleColBandSize w:val="1"/>
      <w:tblInd w:w="0" w:type="dxa"/>
      <w:tblBorders>
        <w:top w:val="single" w:sz="8" w:space="0" w:color="BEDAFF" w:themeColor="accent5"/>
        <w:left w:val="single" w:sz="8" w:space="0" w:color="BEDAFF" w:themeColor="accent5"/>
        <w:bottom w:val="single" w:sz="8" w:space="0" w:color="BEDAFF" w:themeColor="accent5"/>
        <w:right w:val="single" w:sz="8" w:space="0" w:color="BEDAFF" w:themeColor="accent5"/>
        <w:insideH w:val="single" w:sz="8" w:space="0" w:color="BEDAFF" w:themeColor="accent5"/>
        <w:insideV w:val="single" w:sz="8" w:space="0" w:color="BEDAFF"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BEDAFF" w:themeColor="accent5"/>
          <w:left w:val="single" w:sz="8" w:space="0" w:color="BEDAFF" w:themeColor="accent5"/>
          <w:bottom w:val="single" w:sz="18" w:space="0" w:color="BEDAFF" w:themeColor="accent5"/>
          <w:right w:val="single" w:sz="8" w:space="0" w:color="BEDAFF" w:themeColor="accent5"/>
          <w:insideH w:val="nil"/>
          <w:insideV w:val="single" w:sz="8" w:space="0" w:color="BEDAFF"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EDAFF" w:themeColor="accent5"/>
          <w:left w:val="single" w:sz="8" w:space="0" w:color="BEDAFF" w:themeColor="accent5"/>
          <w:bottom w:val="single" w:sz="8" w:space="0" w:color="BEDAFF" w:themeColor="accent5"/>
          <w:right w:val="single" w:sz="8" w:space="0" w:color="BEDAFF" w:themeColor="accent5"/>
          <w:insideH w:val="nil"/>
          <w:insideV w:val="single" w:sz="8" w:space="0" w:color="BEDAFF"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EDAFF" w:themeColor="accent5"/>
          <w:left w:val="single" w:sz="8" w:space="0" w:color="BEDAFF" w:themeColor="accent5"/>
          <w:bottom w:val="single" w:sz="8" w:space="0" w:color="BEDAFF" w:themeColor="accent5"/>
          <w:right w:val="single" w:sz="8" w:space="0" w:color="BEDAFF" w:themeColor="accent5"/>
        </w:tcBorders>
      </w:tcPr>
    </w:tblStylePr>
    <w:tblStylePr w:type="band1Vert">
      <w:tblPr/>
      <w:tcPr>
        <w:tcBorders>
          <w:top w:val="single" w:sz="8" w:space="0" w:color="BEDAFF" w:themeColor="accent5"/>
          <w:left w:val="single" w:sz="8" w:space="0" w:color="BEDAFF" w:themeColor="accent5"/>
          <w:bottom w:val="single" w:sz="8" w:space="0" w:color="BEDAFF" w:themeColor="accent5"/>
          <w:right w:val="single" w:sz="8" w:space="0" w:color="BEDAFF" w:themeColor="accent5"/>
        </w:tcBorders>
        <w:shd w:val="clear" w:color="auto" w:fill="EEF5FF" w:themeFill="accent5" w:themeFillTint="3F"/>
      </w:tcPr>
    </w:tblStylePr>
    <w:tblStylePr w:type="band1Horz">
      <w:tblPr/>
      <w:tcPr>
        <w:tcBorders>
          <w:top w:val="single" w:sz="8" w:space="0" w:color="BEDAFF" w:themeColor="accent5"/>
          <w:left w:val="single" w:sz="8" w:space="0" w:color="BEDAFF" w:themeColor="accent5"/>
          <w:bottom w:val="single" w:sz="8" w:space="0" w:color="BEDAFF" w:themeColor="accent5"/>
          <w:right w:val="single" w:sz="8" w:space="0" w:color="BEDAFF" w:themeColor="accent5"/>
          <w:insideV w:val="single" w:sz="8" w:space="0" w:color="BEDAFF" w:themeColor="accent5"/>
        </w:tcBorders>
        <w:shd w:val="clear" w:color="auto" w:fill="EEF5FF" w:themeFill="accent5" w:themeFillTint="3F"/>
      </w:tcPr>
    </w:tblStylePr>
    <w:tblStylePr w:type="band2Horz">
      <w:tblPr/>
      <w:tcPr>
        <w:tcBorders>
          <w:top w:val="single" w:sz="8" w:space="0" w:color="BEDAFF" w:themeColor="accent5"/>
          <w:left w:val="single" w:sz="8" w:space="0" w:color="BEDAFF" w:themeColor="accent5"/>
          <w:bottom w:val="single" w:sz="8" w:space="0" w:color="BEDAFF" w:themeColor="accent5"/>
          <w:right w:val="single" w:sz="8" w:space="0" w:color="BEDAFF" w:themeColor="accent5"/>
          <w:insideV w:val="single" w:sz="8" w:space="0" w:color="BEDAFF" w:themeColor="accent5"/>
        </w:tcBorders>
      </w:tcPr>
    </w:tblStylePr>
  </w:style>
  <w:style w:type="table" w:styleId="LightGrid-Accent6">
    <w:name w:val="Light Grid Accent 6"/>
    <w:basedOn w:val="TableNormal"/>
    <w:uiPriority w:val="62"/>
    <w:locked/>
    <w:rsid w:val="00F80750"/>
    <w:pPr>
      <w:spacing w:after="0" w:line="240" w:lineRule="auto"/>
    </w:pPr>
    <w:tblPr>
      <w:tblStyleRowBandSize w:val="1"/>
      <w:tblStyleColBandSize w:val="1"/>
      <w:tblInd w:w="0" w:type="dxa"/>
      <w:tblBorders>
        <w:top w:val="single" w:sz="8" w:space="0" w:color="FFF3D2" w:themeColor="accent6"/>
        <w:left w:val="single" w:sz="8" w:space="0" w:color="FFF3D2" w:themeColor="accent6"/>
        <w:bottom w:val="single" w:sz="8" w:space="0" w:color="FFF3D2" w:themeColor="accent6"/>
        <w:right w:val="single" w:sz="8" w:space="0" w:color="FFF3D2" w:themeColor="accent6"/>
        <w:insideH w:val="single" w:sz="8" w:space="0" w:color="FFF3D2" w:themeColor="accent6"/>
        <w:insideV w:val="single" w:sz="8" w:space="0" w:color="FFF3D2"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FF3D2" w:themeColor="accent6"/>
          <w:left w:val="single" w:sz="8" w:space="0" w:color="FFF3D2" w:themeColor="accent6"/>
          <w:bottom w:val="single" w:sz="18" w:space="0" w:color="FFF3D2" w:themeColor="accent6"/>
          <w:right w:val="single" w:sz="8" w:space="0" w:color="FFF3D2" w:themeColor="accent6"/>
          <w:insideH w:val="nil"/>
          <w:insideV w:val="single" w:sz="8" w:space="0" w:color="FFF3D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F3D2" w:themeColor="accent6"/>
          <w:left w:val="single" w:sz="8" w:space="0" w:color="FFF3D2" w:themeColor="accent6"/>
          <w:bottom w:val="single" w:sz="8" w:space="0" w:color="FFF3D2" w:themeColor="accent6"/>
          <w:right w:val="single" w:sz="8" w:space="0" w:color="FFF3D2" w:themeColor="accent6"/>
          <w:insideH w:val="nil"/>
          <w:insideV w:val="single" w:sz="8" w:space="0" w:color="FFF3D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F3D2" w:themeColor="accent6"/>
          <w:left w:val="single" w:sz="8" w:space="0" w:color="FFF3D2" w:themeColor="accent6"/>
          <w:bottom w:val="single" w:sz="8" w:space="0" w:color="FFF3D2" w:themeColor="accent6"/>
          <w:right w:val="single" w:sz="8" w:space="0" w:color="FFF3D2" w:themeColor="accent6"/>
        </w:tcBorders>
      </w:tcPr>
    </w:tblStylePr>
    <w:tblStylePr w:type="band1Vert">
      <w:tblPr/>
      <w:tcPr>
        <w:tcBorders>
          <w:top w:val="single" w:sz="8" w:space="0" w:color="FFF3D2" w:themeColor="accent6"/>
          <w:left w:val="single" w:sz="8" w:space="0" w:color="FFF3D2" w:themeColor="accent6"/>
          <w:bottom w:val="single" w:sz="8" w:space="0" w:color="FFF3D2" w:themeColor="accent6"/>
          <w:right w:val="single" w:sz="8" w:space="0" w:color="FFF3D2" w:themeColor="accent6"/>
        </w:tcBorders>
        <w:shd w:val="clear" w:color="auto" w:fill="FFFBF3" w:themeFill="accent6" w:themeFillTint="3F"/>
      </w:tcPr>
    </w:tblStylePr>
    <w:tblStylePr w:type="band1Horz">
      <w:tblPr/>
      <w:tcPr>
        <w:tcBorders>
          <w:top w:val="single" w:sz="8" w:space="0" w:color="FFF3D2" w:themeColor="accent6"/>
          <w:left w:val="single" w:sz="8" w:space="0" w:color="FFF3D2" w:themeColor="accent6"/>
          <w:bottom w:val="single" w:sz="8" w:space="0" w:color="FFF3D2" w:themeColor="accent6"/>
          <w:right w:val="single" w:sz="8" w:space="0" w:color="FFF3D2" w:themeColor="accent6"/>
          <w:insideV w:val="single" w:sz="8" w:space="0" w:color="FFF3D2" w:themeColor="accent6"/>
        </w:tcBorders>
        <w:shd w:val="clear" w:color="auto" w:fill="FFFBF3" w:themeFill="accent6" w:themeFillTint="3F"/>
      </w:tcPr>
    </w:tblStylePr>
    <w:tblStylePr w:type="band2Horz">
      <w:tblPr/>
      <w:tcPr>
        <w:tcBorders>
          <w:top w:val="single" w:sz="8" w:space="0" w:color="FFF3D2" w:themeColor="accent6"/>
          <w:left w:val="single" w:sz="8" w:space="0" w:color="FFF3D2" w:themeColor="accent6"/>
          <w:bottom w:val="single" w:sz="8" w:space="0" w:color="FFF3D2" w:themeColor="accent6"/>
          <w:right w:val="single" w:sz="8" w:space="0" w:color="FFF3D2" w:themeColor="accent6"/>
          <w:insideV w:val="single" w:sz="8" w:space="0" w:color="FFF3D2" w:themeColor="accent6"/>
        </w:tcBorders>
      </w:tcPr>
    </w:tblStylePr>
  </w:style>
  <w:style w:type="table" w:customStyle="1" w:styleId="LightList1">
    <w:name w:val="Light List1"/>
    <w:basedOn w:val="TableNormal"/>
    <w:uiPriority w:val="61"/>
    <w:locked/>
    <w:rsid w:val="00F80750"/>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ghtList-Accent11">
    <w:name w:val="Light List - Accent 11"/>
    <w:basedOn w:val="TableNormal"/>
    <w:uiPriority w:val="61"/>
    <w:locked/>
    <w:rsid w:val="00F80750"/>
    <w:pPr>
      <w:spacing w:after="0" w:line="240" w:lineRule="auto"/>
    </w:pPr>
    <w:tblPr>
      <w:tblStyleRowBandSize w:val="1"/>
      <w:tblStyleColBandSize w:val="1"/>
      <w:tblInd w:w="0" w:type="dxa"/>
      <w:tblBorders>
        <w:top w:val="single" w:sz="8" w:space="0" w:color="0051BA" w:themeColor="accent1"/>
        <w:left w:val="single" w:sz="8" w:space="0" w:color="0051BA" w:themeColor="accent1"/>
        <w:bottom w:val="single" w:sz="8" w:space="0" w:color="0051BA" w:themeColor="accent1"/>
        <w:right w:val="single" w:sz="8" w:space="0" w:color="0051BA"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51BA" w:themeFill="accent1"/>
      </w:tcPr>
    </w:tblStylePr>
    <w:tblStylePr w:type="lastRow">
      <w:pPr>
        <w:spacing w:before="0" w:after="0" w:line="240" w:lineRule="auto"/>
      </w:pPr>
      <w:rPr>
        <w:b/>
        <w:bCs/>
      </w:rPr>
      <w:tblPr/>
      <w:tcPr>
        <w:tcBorders>
          <w:top w:val="double" w:sz="6" w:space="0" w:color="0051BA" w:themeColor="accent1"/>
          <w:left w:val="single" w:sz="8" w:space="0" w:color="0051BA" w:themeColor="accent1"/>
          <w:bottom w:val="single" w:sz="8" w:space="0" w:color="0051BA" w:themeColor="accent1"/>
          <w:right w:val="single" w:sz="8" w:space="0" w:color="0051BA" w:themeColor="accent1"/>
        </w:tcBorders>
      </w:tcPr>
    </w:tblStylePr>
    <w:tblStylePr w:type="firstCol">
      <w:rPr>
        <w:b/>
        <w:bCs/>
      </w:rPr>
    </w:tblStylePr>
    <w:tblStylePr w:type="lastCol">
      <w:rPr>
        <w:b/>
        <w:bCs/>
      </w:rPr>
    </w:tblStylePr>
    <w:tblStylePr w:type="band1Vert">
      <w:tblPr/>
      <w:tcPr>
        <w:tcBorders>
          <w:top w:val="single" w:sz="8" w:space="0" w:color="0051BA" w:themeColor="accent1"/>
          <w:left w:val="single" w:sz="8" w:space="0" w:color="0051BA" w:themeColor="accent1"/>
          <w:bottom w:val="single" w:sz="8" w:space="0" w:color="0051BA" w:themeColor="accent1"/>
          <w:right w:val="single" w:sz="8" w:space="0" w:color="0051BA" w:themeColor="accent1"/>
        </w:tcBorders>
      </w:tcPr>
    </w:tblStylePr>
    <w:tblStylePr w:type="band1Horz">
      <w:tblPr/>
      <w:tcPr>
        <w:tcBorders>
          <w:top w:val="single" w:sz="8" w:space="0" w:color="0051BA" w:themeColor="accent1"/>
          <w:left w:val="single" w:sz="8" w:space="0" w:color="0051BA" w:themeColor="accent1"/>
          <w:bottom w:val="single" w:sz="8" w:space="0" w:color="0051BA" w:themeColor="accent1"/>
          <w:right w:val="single" w:sz="8" w:space="0" w:color="0051BA" w:themeColor="accent1"/>
        </w:tcBorders>
      </w:tcPr>
    </w:tblStylePr>
  </w:style>
  <w:style w:type="table" w:styleId="LightList-Accent2">
    <w:name w:val="Light List Accent 2"/>
    <w:basedOn w:val="TableNormal"/>
    <w:uiPriority w:val="61"/>
    <w:locked/>
    <w:rsid w:val="00F80750"/>
    <w:pPr>
      <w:spacing w:after="0" w:line="240" w:lineRule="auto"/>
    </w:pPr>
    <w:tblPr>
      <w:tblStyleRowBandSize w:val="1"/>
      <w:tblStyleColBandSize w:val="1"/>
      <w:tblInd w:w="0" w:type="dxa"/>
      <w:tblBorders>
        <w:top w:val="single" w:sz="8" w:space="0" w:color="FFC61E" w:themeColor="accent2"/>
        <w:left w:val="single" w:sz="8" w:space="0" w:color="FFC61E" w:themeColor="accent2"/>
        <w:bottom w:val="single" w:sz="8" w:space="0" w:color="FFC61E" w:themeColor="accent2"/>
        <w:right w:val="single" w:sz="8" w:space="0" w:color="FFC61E"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C61E" w:themeFill="accent2"/>
      </w:tcPr>
    </w:tblStylePr>
    <w:tblStylePr w:type="lastRow">
      <w:pPr>
        <w:spacing w:before="0" w:after="0" w:line="240" w:lineRule="auto"/>
      </w:pPr>
      <w:rPr>
        <w:b/>
        <w:bCs/>
      </w:rPr>
      <w:tblPr/>
      <w:tcPr>
        <w:tcBorders>
          <w:top w:val="double" w:sz="6" w:space="0" w:color="FFC61E" w:themeColor="accent2"/>
          <w:left w:val="single" w:sz="8" w:space="0" w:color="FFC61E" w:themeColor="accent2"/>
          <w:bottom w:val="single" w:sz="8" w:space="0" w:color="FFC61E" w:themeColor="accent2"/>
          <w:right w:val="single" w:sz="8" w:space="0" w:color="FFC61E" w:themeColor="accent2"/>
        </w:tcBorders>
      </w:tcPr>
    </w:tblStylePr>
    <w:tblStylePr w:type="firstCol">
      <w:rPr>
        <w:b/>
        <w:bCs/>
      </w:rPr>
    </w:tblStylePr>
    <w:tblStylePr w:type="lastCol">
      <w:rPr>
        <w:b/>
        <w:bCs/>
      </w:rPr>
    </w:tblStylePr>
    <w:tblStylePr w:type="band1Vert">
      <w:tblPr/>
      <w:tcPr>
        <w:tcBorders>
          <w:top w:val="single" w:sz="8" w:space="0" w:color="FFC61E" w:themeColor="accent2"/>
          <w:left w:val="single" w:sz="8" w:space="0" w:color="FFC61E" w:themeColor="accent2"/>
          <w:bottom w:val="single" w:sz="8" w:space="0" w:color="FFC61E" w:themeColor="accent2"/>
          <w:right w:val="single" w:sz="8" w:space="0" w:color="FFC61E" w:themeColor="accent2"/>
        </w:tcBorders>
      </w:tcPr>
    </w:tblStylePr>
    <w:tblStylePr w:type="band1Horz">
      <w:tblPr/>
      <w:tcPr>
        <w:tcBorders>
          <w:top w:val="single" w:sz="8" w:space="0" w:color="FFC61E" w:themeColor="accent2"/>
          <w:left w:val="single" w:sz="8" w:space="0" w:color="FFC61E" w:themeColor="accent2"/>
          <w:bottom w:val="single" w:sz="8" w:space="0" w:color="FFC61E" w:themeColor="accent2"/>
          <w:right w:val="single" w:sz="8" w:space="0" w:color="FFC61E" w:themeColor="accent2"/>
        </w:tcBorders>
      </w:tcPr>
    </w:tblStylePr>
  </w:style>
  <w:style w:type="table" w:styleId="LightList-Accent3">
    <w:name w:val="Light List Accent 3"/>
    <w:basedOn w:val="TableNormal"/>
    <w:uiPriority w:val="61"/>
    <w:locked/>
    <w:rsid w:val="00F80750"/>
    <w:pPr>
      <w:spacing w:after="0" w:line="240" w:lineRule="auto"/>
    </w:pPr>
    <w:tblPr>
      <w:tblStyleRowBandSize w:val="1"/>
      <w:tblStyleColBandSize w:val="1"/>
      <w:tblInd w:w="0" w:type="dxa"/>
      <w:tblBorders>
        <w:top w:val="single" w:sz="8" w:space="0" w:color="3C91FF" w:themeColor="accent3"/>
        <w:left w:val="single" w:sz="8" w:space="0" w:color="3C91FF" w:themeColor="accent3"/>
        <w:bottom w:val="single" w:sz="8" w:space="0" w:color="3C91FF" w:themeColor="accent3"/>
        <w:right w:val="single" w:sz="8" w:space="0" w:color="3C91FF"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3C91FF" w:themeFill="accent3"/>
      </w:tcPr>
    </w:tblStylePr>
    <w:tblStylePr w:type="lastRow">
      <w:pPr>
        <w:spacing w:before="0" w:after="0" w:line="240" w:lineRule="auto"/>
      </w:pPr>
      <w:rPr>
        <w:b/>
        <w:bCs/>
      </w:rPr>
      <w:tblPr/>
      <w:tcPr>
        <w:tcBorders>
          <w:top w:val="double" w:sz="6" w:space="0" w:color="3C91FF" w:themeColor="accent3"/>
          <w:left w:val="single" w:sz="8" w:space="0" w:color="3C91FF" w:themeColor="accent3"/>
          <w:bottom w:val="single" w:sz="8" w:space="0" w:color="3C91FF" w:themeColor="accent3"/>
          <w:right w:val="single" w:sz="8" w:space="0" w:color="3C91FF" w:themeColor="accent3"/>
        </w:tcBorders>
      </w:tcPr>
    </w:tblStylePr>
    <w:tblStylePr w:type="firstCol">
      <w:rPr>
        <w:b/>
        <w:bCs/>
      </w:rPr>
    </w:tblStylePr>
    <w:tblStylePr w:type="lastCol">
      <w:rPr>
        <w:b/>
        <w:bCs/>
      </w:rPr>
    </w:tblStylePr>
    <w:tblStylePr w:type="band1Vert">
      <w:tblPr/>
      <w:tcPr>
        <w:tcBorders>
          <w:top w:val="single" w:sz="8" w:space="0" w:color="3C91FF" w:themeColor="accent3"/>
          <w:left w:val="single" w:sz="8" w:space="0" w:color="3C91FF" w:themeColor="accent3"/>
          <w:bottom w:val="single" w:sz="8" w:space="0" w:color="3C91FF" w:themeColor="accent3"/>
          <w:right w:val="single" w:sz="8" w:space="0" w:color="3C91FF" w:themeColor="accent3"/>
        </w:tcBorders>
      </w:tcPr>
    </w:tblStylePr>
    <w:tblStylePr w:type="band1Horz">
      <w:tblPr/>
      <w:tcPr>
        <w:tcBorders>
          <w:top w:val="single" w:sz="8" w:space="0" w:color="3C91FF" w:themeColor="accent3"/>
          <w:left w:val="single" w:sz="8" w:space="0" w:color="3C91FF" w:themeColor="accent3"/>
          <w:bottom w:val="single" w:sz="8" w:space="0" w:color="3C91FF" w:themeColor="accent3"/>
          <w:right w:val="single" w:sz="8" w:space="0" w:color="3C91FF" w:themeColor="accent3"/>
        </w:tcBorders>
      </w:tcPr>
    </w:tblStylePr>
  </w:style>
  <w:style w:type="table" w:styleId="LightList-Accent4">
    <w:name w:val="Light List Accent 4"/>
    <w:basedOn w:val="TableNormal"/>
    <w:uiPriority w:val="61"/>
    <w:locked/>
    <w:rsid w:val="00F80750"/>
    <w:pPr>
      <w:spacing w:after="0" w:line="240" w:lineRule="auto"/>
    </w:pPr>
    <w:tblPr>
      <w:tblStyleRowBandSize w:val="1"/>
      <w:tblStyleColBandSize w:val="1"/>
      <w:tblInd w:w="0" w:type="dxa"/>
      <w:tblBorders>
        <w:top w:val="single" w:sz="8" w:space="0" w:color="FFDC77" w:themeColor="accent4"/>
        <w:left w:val="single" w:sz="8" w:space="0" w:color="FFDC77" w:themeColor="accent4"/>
        <w:bottom w:val="single" w:sz="8" w:space="0" w:color="FFDC77" w:themeColor="accent4"/>
        <w:right w:val="single" w:sz="8" w:space="0" w:color="FFDC7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DC77" w:themeFill="accent4"/>
      </w:tcPr>
    </w:tblStylePr>
    <w:tblStylePr w:type="lastRow">
      <w:pPr>
        <w:spacing w:before="0" w:after="0" w:line="240" w:lineRule="auto"/>
      </w:pPr>
      <w:rPr>
        <w:b/>
        <w:bCs/>
      </w:rPr>
      <w:tblPr/>
      <w:tcPr>
        <w:tcBorders>
          <w:top w:val="double" w:sz="6" w:space="0" w:color="FFDC77" w:themeColor="accent4"/>
          <w:left w:val="single" w:sz="8" w:space="0" w:color="FFDC77" w:themeColor="accent4"/>
          <w:bottom w:val="single" w:sz="8" w:space="0" w:color="FFDC77" w:themeColor="accent4"/>
          <w:right w:val="single" w:sz="8" w:space="0" w:color="FFDC77" w:themeColor="accent4"/>
        </w:tcBorders>
      </w:tcPr>
    </w:tblStylePr>
    <w:tblStylePr w:type="firstCol">
      <w:rPr>
        <w:b/>
        <w:bCs/>
      </w:rPr>
    </w:tblStylePr>
    <w:tblStylePr w:type="lastCol">
      <w:rPr>
        <w:b/>
        <w:bCs/>
      </w:rPr>
    </w:tblStylePr>
    <w:tblStylePr w:type="band1Vert">
      <w:tblPr/>
      <w:tcPr>
        <w:tcBorders>
          <w:top w:val="single" w:sz="8" w:space="0" w:color="FFDC77" w:themeColor="accent4"/>
          <w:left w:val="single" w:sz="8" w:space="0" w:color="FFDC77" w:themeColor="accent4"/>
          <w:bottom w:val="single" w:sz="8" w:space="0" w:color="FFDC77" w:themeColor="accent4"/>
          <w:right w:val="single" w:sz="8" w:space="0" w:color="FFDC77" w:themeColor="accent4"/>
        </w:tcBorders>
      </w:tcPr>
    </w:tblStylePr>
    <w:tblStylePr w:type="band1Horz">
      <w:tblPr/>
      <w:tcPr>
        <w:tcBorders>
          <w:top w:val="single" w:sz="8" w:space="0" w:color="FFDC77" w:themeColor="accent4"/>
          <w:left w:val="single" w:sz="8" w:space="0" w:color="FFDC77" w:themeColor="accent4"/>
          <w:bottom w:val="single" w:sz="8" w:space="0" w:color="FFDC77" w:themeColor="accent4"/>
          <w:right w:val="single" w:sz="8" w:space="0" w:color="FFDC77" w:themeColor="accent4"/>
        </w:tcBorders>
      </w:tcPr>
    </w:tblStylePr>
  </w:style>
  <w:style w:type="table" w:styleId="LightList-Accent5">
    <w:name w:val="Light List Accent 5"/>
    <w:basedOn w:val="TableNormal"/>
    <w:uiPriority w:val="61"/>
    <w:locked/>
    <w:rsid w:val="00F80750"/>
    <w:pPr>
      <w:spacing w:after="0" w:line="240" w:lineRule="auto"/>
    </w:pPr>
    <w:tblPr>
      <w:tblStyleRowBandSize w:val="1"/>
      <w:tblStyleColBandSize w:val="1"/>
      <w:tblInd w:w="0" w:type="dxa"/>
      <w:tblBorders>
        <w:top w:val="single" w:sz="8" w:space="0" w:color="BEDAFF" w:themeColor="accent5"/>
        <w:left w:val="single" w:sz="8" w:space="0" w:color="BEDAFF" w:themeColor="accent5"/>
        <w:bottom w:val="single" w:sz="8" w:space="0" w:color="BEDAFF" w:themeColor="accent5"/>
        <w:right w:val="single" w:sz="8" w:space="0" w:color="BEDAFF"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EDAFF" w:themeFill="accent5"/>
      </w:tcPr>
    </w:tblStylePr>
    <w:tblStylePr w:type="lastRow">
      <w:pPr>
        <w:spacing w:before="0" w:after="0" w:line="240" w:lineRule="auto"/>
      </w:pPr>
      <w:rPr>
        <w:b/>
        <w:bCs/>
      </w:rPr>
      <w:tblPr/>
      <w:tcPr>
        <w:tcBorders>
          <w:top w:val="double" w:sz="6" w:space="0" w:color="BEDAFF" w:themeColor="accent5"/>
          <w:left w:val="single" w:sz="8" w:space="0" w:color="BEDAFF" w:themeColor="accent5"/>
          <w:bottom w:val="single" w:sz="8" w:space="0" w:color="BEDAFF" w:themeColor="accent5"/>
          <w:right w:val="single" w:sz="8" w:space="0" w:color="BEDAFF" w:themeColor="accent5"/>
        </w:tcBorders>
      </w:tcPr>
    </w:tblStylePr>
    <w:tblStylePr w:type="firstCol">
      <w:rPr>
        <w:b/>
        <w:bCs/>
      </w:rPr>
    </w:tblStylePr>
    <w:tblStylePr w:type="lastCol">
      <w:rPr>
        <w:b/>
        <w:bCs/>
      </w:rPr>
    </w:tblStylePr>
    <w:tblStylePr w:type="band1Vert">
      <w:tblPr/>
      <w:tcPr>
        <w:tcBorders>
          <w:top w:val="single" w:sz="8" w:space="0" w:color="BEDAFF" w:themeColor="accent5"/>
          <w:left w:val="single" w:sz="8" w:space="0" w:color="BEDAFF" w:themeColor="accent5"/>
          <w:bottom w:val="single" w:sz="8" w:space="0" w:color="BEDAFF" w:themeColor="accent5"/>
          <w:right w:val="single" w:sz="8" w:space="0" w:color="BEDAFF" w:themeColor="accent5"/>
        </w:tcBorders>
      </w:tcPr>
    </w:tblStylePr>
    <w:tblStylePr w:type="band1Horz">
      <w:tblPr/>
      <w:tcPr>
        <w:tcBorders>
          <w:top w:val="single" w:sz="8" w:space="0" w:color="BEDAFF" w:themeColor="accent5"/>
          <w:left w:val="single" w:sz="8" w:space="0" w:color="BEDAFF" w:themeColor="accent5"/>
          <w:bottom w:val="single" w:sz="8" w:space="0" w:color="BEDAFF" w:themeColor="accent5"/>
          <w:right w:val="single" w:sz="8" w:space="0" w:color="BEDAFF" w:themeColor="accent5"/>
        </w:tcBorders>
      </w:tcPr>
    </w:tblStylePr>
  </w:style>
  <w:style w:type="table" w:styleId="LightList-Accent6">
    <w:name w:val="Light List Accent 6"/>
    <w:basedOn w:val="TableNormal"/>
    <w:uiPriority w:val="61"/>
    <w:locked/>
    <w:rsid w:val="00F80750"/>
    <w:pPr>
      <w:spacing w:after="0" w:line="240" w:lineRule="auto"/>
    </w:pPr>
    <w:tblPr>
      <w:tblStyleRowBandSize w:val="1"/>
      <w:tblStyleColBandSize w:val="1"/>
      <w:tblInd w:w="0" w:type="dxa"/>
      <w:tblBorders>
        <w:top w:val="single" w:sz="8" w:space="0" w:color="FFF3D2" w:themeColor="accent6"/>
        <w:left w:val="single" w:sz="8" w:space="0" w:color="FFF3D2" w:themeColor="accent6"/>
        <w:bottom w:val="single" w:sz="8" w:space="0" w:color="FFF3D2" w:themeColor="accent6"/>
        <w:right w:val="single" w:sz="8" w:space="0" w:color="FFF3D2"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F3D2" w:themeFill="accent6"/>
      </w:tcPr>
    </w:tblStylePr>
    <w:tblStylePr w:type="lastRow">
      <w:pPr>
        <w:spacing w:before="0" w:after="0" w:line="240" w:lineRule="auto"/>
      </w:pPr>
      <w:rPr>
        <w:b/>
        <w:bCs/>
      </w:rPr>
      <w:tblPr/>
      <w:tcPr>
        <w:tcBorders>
          <w:top w:val="double" w:sz="6" w:space="0" w:color="FFF3D2" w:themeColor="accent6"/>
          <w:left w:val="single" w:sz="8" w:space="0" w:color="FFF3D2" w:themeColor="accent6"/>
          <w:bottom w:val="single" w:sz="8" w:space="0" w:color="FFF3D2" w:themeColor="accent6"/>
          <w:right w:val="single" w:sz="8" w:space="0" w:color="FFF3D2" w:themeColor="accent6"/>
        </w:tcBorders>
      </w:tcPr>
    </w:tblStylePr>
    <w:tblStylePr w:type="firstCol">
      <w:rPr>
        <w:b/>
        <w:bCs/>
      </w:rPr>
    </w:tblStylePr>
    <w:tblStylePr w:type="lastCol">
      <w:rPr>
        <w:b/>
        <w:bCs/>
      </w:rPr>
    </w:tblStylePr>
    <w:tblStylePr w:type="band1Vert">
      <w:tblPr/>
      <w:tcPr>
        <w:tcBorders>
          <w:top w:val="single" w:sz="8" w:space="0" w:color="FFF3D2" w:themeColor="accent6"/>
          <w:left w:val="single" w:sz="8" w:space="0" w:color="FFF3D2" w:themeColor="accent6"/>
          <w:bottom w:val="single" w:sz="8" w:space="0" w:color="FFF3D2" w:themeColor="accent6"/>
          <w:right w:val="single" w:sz="8" w:space="0" w:color="FFF3D2" w:themeColor="accent6"/>
        </w:tcBorders>
      </w:tcPr>
    </w:tblStylePr>
    <w:tblStylePr w:type="band1Horz">
      <w:tblPr/>
      <w:tcPr>
        <w:tcBorders>
          <w:top w:val="single" w:sz="8" w:space="0" w:color="FFF3D2" w:themeColor="accent6"/>
          <w:left w:val="single" w:sz="8" w:space="0" w:color="FFF3D2" w:themeColor="accent6"/>
          <w:bottom w:val="single" w:sz="8" w:space="0" w:color="FFF3D2" w:themeColor="accent6"/>
          <w:right w:val="single" w:sz="8" w:space="0" w:color="FFF3D2" w:themeColor="accent6"/>
        </w:tcBorders>
      </w:tcPr>
    </w:tblStylePr>
  </w:style>
  <w:style w:type="table" w:customStyle="1" w:styleId="LightShading1">
    <w:name w:val="Light Shading1"/>
    <w:basedOn w:val="TableNormal"/>
    <w:uiPriority w:val="60"/>
    <w:locked/>
    <w:rsid w:val="00F8075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locked/>
    <w:rsid w:val="00F80750"/>
    <w:pPr>
      <w:spacing w:after="0" w:line="240" w:lineRule="auto"/>
    </w:pPr>
    <w:rPr>
      <w:color w:val="003C8B" w:themeColor="accent1" w:themeShade="BF"/>
    </w:rPr>
    <w:tblPr>
      <w:tblStyleRowBandSize w:val="1"/>
      <w:tblStyleColBandSize w:val="1"/>
      <w:tblInd w:w="0" w:type="dxa"/>
      <w:tblBorders>
        <w:top w:val="single" w:sz="8" w:space="0" w:color="0051BA" w:themeColor="accent1"/>
        <w:bottom w:val="single" w:sz="8" w:space="0" w:color="0051BA"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51BA" w:themeColor="accent1"/>
          <w:left w:val="nil"/>
          <w:bottom w:val="single" w:sz="8" w:space="0" w:color="0051BA" w:themeColor="accent1"/>
          <w:right w:val="nil"/>
          <w:insideH w:val="nil"/>
          <w:insideV w:val="nil"/>
        </w:tcBorders>
      </w:tcPr>
    </w:tblStylePr>
    <w:tblStylePr w:type="lastRow">
      <w:pPr>
        <w:spacing w:before="0" w:after="0" w:line="240" w:lineRule="auto"/>
      </w:pPr>
      <w:rPr>
        <w:b/>
        <w:bCs/>
      </w:rPr>
      <w:tblPr/>
      <w:tcPr>
        <w:tcBorders>
          <w:top w:val="single" w:sz="8" w:space="0" w:color="0051BA" w:themeColor="accent1"/>
          <w:left w:val="nil"/>
          <w:bottom w:val="single" w:sz="8" w:space="0" w:color="0051B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ED1FF" w:themeFill="accent1" w:themeFillTint="3F"/>
      </w:tcPr>
    </w:tblStylePr>
    <w:tblStylePr w:type="band1Horz">
      <w:tblPr/>
      <w:tcPr>
        <w:tcBorders>
          <w:left w:val="nil"/>
          <w:right w:val="nil"/>
          <w:insideH w:val="nil"/>
          <w:insideV w:val="nil"/>
        </w:tcBorders>
        <w:shd w:val="clear" w:color="auto" w:fill="AED1FF" w:themeFill="accent1" w:themeFillTint="3F"/>
      </w:tcPr>
    </w:tblStylePr>
  </w:style>
  <w:style w:type="table" w:styleId="LightShading-Accent2">
    <w:name w:val="Light Shading Accent 2"/>
    <w:basedOn w:val="TableNormal"/>
    <w:uiPriority w:val="60"/>
    <w:locked/>
    <w:rsid w:val="00F80750"/>
    <w:pPr>
      <w:spacing w:after="0" w:line="240" w:lineRule="auto"/>
    </w:pPr>
    <w:rPr>
      <w:color w:val="D59E00" w:themeColor="accent2" w:themeShade="BF"/>
    </w:rPr>
    <w:tblPr>
      <w:tblStyleRowBandSize w:val="1"/>
      <w:tblStyleColBandSize w:val="1"/>
      <w:tblInd w:w="0" w:type="dxa"/>
      <w:tblBorders>
        <w:top w:val="single" w:sz="8" w:space="0" w:color="FFC61E" w:themeColor="accent2"/>
        <w:bottom w:val="single" w:sz="8" w:space="0" w:color="FFC61E"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61E" w:themeColor="accent2"/>
          <w:left w:val="nil"/>
          <w:bottom w:val="single" w:sz="8" w:space="0" w:color="FFC61E" w:themeColor="accent2"/>
          <w:right w:val="nil"/>
          <w:insideH w:val="nil"/>
          <w:insideV w:val="nil"/>
        </w:tcBorders>
      </w:tcPr>
    </w:tblStylePr>
    <w:tblStylePr w:type="lastRow">
      <w:pPr>
        <w:spacing w:before="0" w:after="0" w:line="240" w:lineRule="auto"/>
      </w:pPr>
      <w:rPr>
        <w:b/>
        <w:bCs/>
      </w:rPr>
      <w:tblPr/>
      <w:tcPr>
        <w:tcBorders>
          <w:top w:val="single" w:sz="8" w:space="0" w:color="FFC61E" w:themeColor="accent2"/>
          <w:left w:val="nil"/>
          <w:bottom w:val="single" w:sz="8" w:space="0" w:color="FFC61E"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0C7" w:themeFill="accent2" w:themeFillTint="3F"/>
      </w:tcPr>
    </w:tblStylePr>
    <w:tblStylePr w:type="band1Horz">
      <w:tblPr/>
      <w:tcPr>
        <w:tcBorders>
          <w:left w:val="nil"/>
          <w:right w:val="nil"/>
          <w:insideH w:val="nil"/>
          <w:insideV w:val="nil"/>
        </w:tcBorders>
        <w:shd w:val="clear" w:color="auto" w:fill="FFF0C7" w:themeFill="accent2" w:themeFillTint="3F"/>
      </w:tcPr>
    </w:tblStylePr>
  </w:style>
  <w:style w:type="table" w:styleId="LightShading-Accent3">
    <w:name w:val="Light Shading Accent 3"/>
    <w:basedOn w:val="TableNormal"/>
    <w:uiPriority w:val="60"/>
    <w:locked/>
    <w:rsid w:val="00F80750"/>
    <w:pPr>
      <w:spacing w:after="0" w:line="240" w:lineRule="auto"/>
    </w:pPr>
    <w:rPr>
      <w:color w:val="0066EB" w:themeColor="accent3" w:themeShade="BF"/>
    </w:rPr>
    <w:tblPr>
      <w:tblStyleRowBandSize w:val="1"/>
      <w:tblStyleColBandSize w:val="1"/>
      <w:tblInd w:w="0" w:type="dxa"/>
      <w:tblBorders>
        <w:top w:val="single" w:sz="8" w:space="0" w:color="3C91FF" w:themeColor="accent3"/>
        <w:bottom w:val="single" w:sz="8" w:space="0" w:color="3C91FF"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C91FF" w:themeColor="accent3"/>
          <w:left w:val="nil"/>
          <w:bottom w:val="single" w:sz="8" w:space="0" w:color="3C91FF" w:themeColor="accent3"/>
          <w:right w:val="nil"/>
          <w:insideH w:val="nil"/>
          <w:insideV w:val="nil"/>
        </w:tcBorders>
      </w:tcPr>
    </w:tblStylePr>
    <w:tblStylePr w:type="lastRow">
      <w:pPr>
        <w:spacing w:before="0" w:after="0" w:line="240" w:lineRule="auto"/>
      </w:pPr>
      <w:rPr>
        <w:b/>
        <w:bCs/>
      </w:rPr>
      <w:tblPr/>
      <w:tcPr>
        <w:tcBorders>
          <w:top w:val="single" w:sz="8" w:space="0" w:color="3C91FF" w:themeColor="accent3"/>
          <w:left w:val="nil"/>
          <w:bottom w:val="single" w:sz="8" w:space="0" w:color="3C91F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EE3FF" w:themeFill="accent3" w:themeFillTint="3F"/>
      </w:tcPr>
    </w:tblStylePr>
    <w:tblStylePr w:type="band1Horz">
      <w:tblPr/>
      <w:tcPr>
        <w:tcBorders>
          <w:left w:val="nil"/>
          <w:right w:val="nil"/>
          <w:insideH w:val="nil"/>
          <w:insideV w:val="nil"/>
        </w:tcBorders>
        <w:shd w:val="clear" w:color="auto" w:fill="CEE3FF" w:themeFill="accent3" w:themeFillTint="3F"/>
      </w:tcPr>
    </w:tblStylePr>
  </w:style>
  <w:style w:type="table" w:styleId="LightShading-Accent4">
    <w:name w:val="Light Shading Accent 4"/>
    <w:basedOn w:val="TableNormal"/>
    <w:uiPriority w:val="60"/>
    <w:locked/>
    <w:rsid w:val="00F80750"/>
    <w:pPr>
      <w:spacing w:after="0" w:line="240" w:lineRule="auto"/>
    </w:pPr>
    <w:rPr>
      <w:color w:val="FFC319" w:themeColor="accent4" w:themeShade="BF"/>
    </w:rPr>
    <w:tblPr>
      <w:tblStyleRowBandSize w:val="1"/>
      <w:tblStyleColBandSize w:val="1"/>
      <w:tblInd w:w="0" w:type="dxa"/>
      <w:tblBorders>
        <w:top w:val="single" w:sz="8" w:space="0" w:color="FFDC77" w:themeColor="accent4"/>
        <w:bottom w:val="single" w:sz="8" w:space="0" w:color="FFDC7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DC77" w:themeColor="accent4"/>
          <w:left w:val="nil"/>
          <w:bottom w:val="single" w:sz="8" w:space="0" w:color="FFDC77" w:themeColor="accent4"/>
          <w:right w:val="nil"/>
          <w:insideH w:val="nil"/>
          <w:insideV w:val="nil"/>
        </w:tcBorders>
      </w:tcPr>
    </w:tblStylePr>
    <w:tblStylePr w:type="lastRow">
      <w:pPr>
        <w:spacing w:before="0" w:after="0" w:line="240" w:lineRule="auto"/>
      </w:pPr>
      <w:rPr>
        <w:b/>
        <w:bCs/>
      </w:rPr>
      <w:tblPr/>
      <w:tcPr>
        <w:tcBorders>
          <w:top w:val="single" w:sz="8" w:space="0" w:color="FFDC77" w:themeColor="accent4"/>
          <w:left w:val="nil"/>
          <w:bottom w:val="single" w:sz="8" w:space="0" w:color="FFDC7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6DD" w:themeFill="accent4" w:themeFillTint="3F"/>
      </w:tcPr>
    </w:tblStylePr>
    <w:tblStylePr w:type="band1Horz">
      <w:tblPr/>
      <w:tcPr>
        <w:tcBorders>
          <w:left w:val="nil"/>
          <w:right w:val="nil"/>
          <w:insideH w:val="nil"/>
          <w:insideV w:val="nil"/>
        </w:tcBorders>
        <w:shd w:val="clear" w:color="auto" w:fill="FFF6DD" w:themeFill="accent4" w:themeFillTint="3F"/>
      </w:tcPr>
    </w:tblStylePr>
  </w:style>
  <w:style w:type="table" w:styleId="LightShading-Accent5">
    <w:name w:val="Light Shading Accent 5"/>
    <w:basedOn w:val="TableNormal"/>
    <w:uiPriority w:val="60"/>
    <w:locked/>
    <w:rsid w:val="00F80750"/>
    <w:pPr>
      <w:spacing w:after="0" w:line="240" w:lineRule="auto"/>
    </w:pPr>
    <w:rPr>
      <w:color w:val="4E99FF" w:themeColor="accent5" w:themeShade="BF"/>
    </w:rPr>
    <w:tblPr>
      <w:tblStyleRowBandSize w:val="1"/>
      <w:tblStyleColBandSize w:val="1"/>
      <w:tblInd w:w="0" w:type="dxa"/>
      <w:tblBorders>
        <w:top w:val="single" w:sz="8" w:space="0" w:color="BEDAFF" w:themeColor="accent5"/>
        <w:bottom w:val="single" w:sz="8" w:space="0" w:color="BEDAFF"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EDAFF" w:themeColor="accent5"/>
          <w:left w:val="nil"/>
          <w:bottom w:val="single" w:sz="8" w:space="0" w:color="BEDAFF" w:themeColor="accent5"/>
          <w:right w:val="nil"/>
          <w:insideH w:val="nil"/>
          <w:insideV w:val="nil"/>
        </w:tcBorders>
      </w:tcPr>
    </w:tblStylePr>
    <w:tblStylePr w:type="lastRow">
      <w:pPr>
        <w:spacing w:before="0" w:after="0" w:line="240" w:lineRule="auto"/>
      </w:pPr>
      <w:rPr>
        <w:b/>
        <w:bCs/>
      </w:rPr>
      <w:tblPr/>
      <w:tcPr>
        <w:tcBorders>
          <w:top w:val="single" w:sz="8" w:space="0" w:color="BEDAFF" w:themeColor="accent5"/>
          <w:left w:val="nil"/>
          <w:bottom w:val="single" w:sz="8" w:space="0" w:color="BEDAFF"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EF5FF" w:themeFill="accent5" w:themeFillTint="3F"/>
      </w:tcPr>
    </w:tblStylePr>
    <w:tblStylePr w:type="band1Horz">
      <w:tblPr/>
      <w:tcPr>
        <w:tcBorders>
          <w:left w:val="nil"/>
          <w:right w:val="nil"/>
          <w:insideH w:val="nil"/>
          <w:insideV w:val="nil"/>
        </w:tcBorders>
        <w:shd w:val="clear" w:color="auto" w:fill="EEF5FF" w:themeFill="accent5" w:themeFillTint="3F"/>
      </w:tcPr>
    </w:tblStylePr>
  </w:style>
  <w:style w:type="table" w:styleId="LightShading-Accent6">
    <w:name w:val="Light Shading Accent 6"/>
    <w:basedOn w:val="TableNormal"/>
    <w:uiPriority w:val="60"/>
    <w:locked/>
    <w:rsid w:val="00F80750"/>
    <w:pPr>
      <w:spacing w:after="0" w:line="240" w:lineRule="auto"/>
    </w:pPr>
    <w:rPr>
      <w:color w:val="FFD35D" w:themeColor="accent6" w:themeShade="BF"/>
    </w:rPr>
    <w:tblPr>
      <w:tblStyleRowBandSize w:val="1"/>
      <w:tblStyleColBandSize w:val="1"/>
      <w:tblInd w:w="0" w:type="dxa"/>
      <w:tblBorders>
        <w:top w:val="single" w:sz="8" w:space="0" w:color="FFF3D2" w:themeColor="accent6"/>
        <w:bottom w:val="single" w:sz="8" w:space="0" w:color="FFF3D2"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F3D2" w:themeColor="accent6"/>
          <w:left w:val="nil"/>
          <w:bottom w:val="single" w:sz="8" w:space="0" w:color="FFF3D2" w:themeColor="accent6"/>
          <w:right w:val="nil"/>
          <w:insideH w:val="nil"/>
          <w:insideV w:val="nil"/>
        </w:tcBorders>
      </w:tcPr>
    </w:tblStylePr>
    <w:tblStylePr w:type="lastRow">
      <w:pPr>
        <w:spacing w:before="0" w:after="0" w:line="240" w:lineRule="auto"/>
      </w:pPr>
      <w:rPr>
        <w:b/>
        <w:bCs/>
      </w:rPr>
      <w:tblPr/>
      <w:tcPr>
        <w:tcBorders>
          <w:top w:val="single" w:sz="8" w:space="0" w:color="FFF3D2" w:themeColor="accent6"/>
          <w:left w:val="nil"/>
          <w:bottom w:val="single" w:sz="8" w:space="0" w:color="FFF3D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BF3" w:themeFill="accent6" w:themeFillTint="3F"/>
      </w:tcPr>
    </w:tblStylePr>
    <w:tblStylePr w:type="band1Horz">
      <w:tblPr/>
      <w:tcPr>
        <w:tcBorders>
          <w:left w:val="nil"/>
          <w:right w:val="nil"/>
          <w:insideH w:val="nil"/>
          <w:insideV w:val="nil"/>
        </w:tcBorders>
        <w:shd w:val="clear" w:color="auto" w:fill="FFFBF3" w:themeFill="accent6" w:themeFillTint="3F"/>
      </w:tcPr>
    </w:tblStylePr>
  </w:style>
  <w:style w:type="character" w:styleId="LineNumber">
    <w:name w:val="line number"/>
    <w:basedOn w:val="DefaultParagraphFont"/>
    <w:uiPriority w:val="99"/>
    <w:semiHidden/>
    <w:unhideWhenUsed/>
    <w:locked/>
    <w:rsid w:val="00F80750"/>
    <w:rPr>
      <w:noProof w:val="0"/>
      <w:lang w:val="en-AU"/>
    </w:rPr>
  </w:style>
  <w:style w:type="paragraph" w:styleId="List">
    <w:name w:val="List"/>
    <w:basedOn w:val="Normal"/>
    <w:uiPriority w:val="99"/>
    <w:semiHidden/>
    <w:unhideWhenUsed/>
    <w:locked/>
    <w:rsid w:val="00F80750"/>
    <w:pPr>
      <w:ind w:left="283" w:hanging="283"/>
      <w:contextualSpacing/>
    </w:pPr>
  </w:style>
  <w:style w:type="paragraph" w:styleId="List2">
    <w:name w:val="List 2"/>
    <w:basedOn w:val="Normal"/>
    <w:uiPriority w:val="99"/>
    <w:semiHidden/>
    <w:unhideWhenUsed/>
    <w:locked/>
    <w:rsid w:val="00F80750"/>
    <w:pPr>
      <w:ind w:left="566" w:hanging="283"/>
      <w:contextualSpacing/>
    </w:pPr>
  </w:style>
  <w:style w:type="paragraph" w:styleId="List3">
    <w:name w:val="List 3"/>
    <w:basedOn w:val="Normal"/>
    <w:uiPriority w:val="99"/>
    <w:semiHidden/>
    <w:unhideWhenUsed/>
    <w:locked/>
    <w:rsid w:val="00F80750"/>
    <w:pPr>
      <w:ind w:left="849" w:hanging="283"/>
      <w:contextualSpacing/>
    </w:pPr>
  </w:style>
  <w:style w:type="paragraph" w:styleId="List4">
    <w:name w:val="List 4"/>
    <w:basedOn w:val="Normal"/>
    <w:uiPriority w:val="99"/>
    <w:semiHidden/>
    <w:unhideWhenUsed/>
    <w:locked/>
    <w:rsid w:val="00F80750"/>
    <w:pPr>
      <w:ind w:left="1132" w:hanging="283"/>
      <w:contextualSpacing/>
    </w:pPr>
  </w:style>
  <w:style w:type="paragraph" w:styleId="List5">
    <w:name w:val="List 5"/>
    <w:basedOn w:val="Normal"/>
    <w:uiPriority w:val="99"/>
    <w:semiHidden/>
    <w:unhideWhenUsed/>
    <w:locked/>
    <w:rsid w:val="00F80750"/>
    <w:pPr>
      <w:ind w:left="1415" w:hanging="283"/>
      <w:contextualSpacing/>
    </w:pPr>
  </w:style>
  <w:style w:type="paragraph" w:styleId="ListBullet5">
    <w:name w:val="List Bullet 5"/>
    <w:basedOn w:val="Normal"/>
    <w:uiPriority w:val="99"/>
    <w:semiHidden/>
    <w:locked/>
    <w:rsid w:val="00F80750"/>
    <w:pPr>
      <w:numPr>
        <w:numId w:val="9"/>
      </w:numPr>
      <w:contextualSpacing/>
    </w:pPr>
  </w:style>
  <w:style w:type="paragraph" w:styleId="ListContinue">
    <w:name w:val="List Continue"/>
    <w:basedOn w:val="Normal"/>
    <w:uiPriority w:val="99"/>
    <w:semiHidden/>
    <w:unhideWhenUsed/>
    <w:locked/>
    <w:rsid w:val="00F80750"/>
    <w:pPr>
      <w:spacing w:after="120"/>
      <w:ind w:left="283"/>
      <w:contextualSpacing/>
    </w:pPr>
  </w:style>
  <w:style w:type="paragraph" w:styleId="ListContinue2">
    <w:name w:val="List Continue 2"/>
    <w:basedOn w:val="Normal"/>
    <w:uiPriority w:val="99"/>
    <w:semiHidden/>
    <w:unhideWhenUsed/>
    <w:locked/>
    <w:rsid w:val="00F80750"/>
    <w:pPr>
      <w:spacing w:after="120"/>
      <w:ind w:left="566"/>
      <w:contextualSpacing/>
    </w:pPr>
  </w:style>
  <w:style w:type="paragraph" w:styleId="ListContinue3">
    <w:name w:val="List Continue 3"/>
    <w:basedOn w:val="Normal"/>
    <w:uiPriority w:val="99"/>
    <w:semiHidden/>
    <w:unhideWhenUsed/>
    <w:locked/>
    <w:rsid w:val="00F80750"/>
    <w:pPr>
      <w:spacing w:after="120"/>
      <w:ind w:left="849"/>
      <w:contextualSpacing/>
    </w:pPr>
  </w:style>
  <w:style w:type="paragraph" w:styleId="ListContinue4">
    <w:name w:val="List Continue 4"/>
    <w:basedOn w:val="Normal"/>
    <w:uiPriority w:val="99"/>
    <w:semiHidden/>
    <w:unhideWhenUsed/>
    <w:locked/>
    <w:rsid w:val="00F80750"/>
    <w:pPr>
      <w:spacing w:after="120"/>
      <w:ind w:left="1132"/>
      <w:contextualSpacing/>
    </w:pPr>
  </w:style>
  <w:style w:type="paragraph" w:styleId="ListContinue5">
    <w:name w:val="List Continue 5"/>
    <w:basedOn w:val="Normal"/>
    <w:uiPriority w:val="99"/>
    <w:semiHidden/>
    <w:unhideWhenUsed/>
    <w:locked/>
    <w:rsid w:val="00F80750"/>
    <w:pPr>
      <w:spacing w:after="120"/>
      <w:ind w:left="1415"/>
      <w:contextualSpacing/>
    </w:pPr>
  </w:style>
  <w:style w:type="paragraph" w:styleId="ListNumber5">
    <w:name w:val="List Number 5"/>
    <w:basedOn w:val="Normal"/>
    <w:uiPriority w:val="99"/>
    <w:semiHidden/>
    <w:locked/>
    <w:rsid w:val="00F80750"/>
    <w:pPr>
      <w:numPr>
        <w:numId w:val="10"/>
      </w:numPr>
      <w:contextualSpacing/>
    </w:pPr>
  </w:style>
  <w:style w:type="paragraph" w:styleId="ListParagraph">
    <w:name w:val="List Paragraph"/>
    <w:basedOn w:val="Normal"/>
    <w:uiPriority w:val="34"/>
    <w:unhideWhenUsed/>
    <w:qFormat/>
    <w:locked/>
    <w:rsid w:val="00F80750"/>
    <w:pPr>
      <w:ind w:left="720"/>
      <w:contextualSpacing/>
    </w:pPr>
  </w:style>
  <w:style w:type="paragraph" w:styleId="MacroText">
    <w:name w:val="macro"/>
    <w:link w:val="MacroTextChar"/>
    <w:uiPriority w:val="99"/>
    <w:semiHidden/>
    <w:unhideWhenUsed/>
    <w:locked/>
    <w:rsid w:val="00F80750"/>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F80750"/>
    <w:rPr>
      <w:rFonts w:ascii="Consolas" w:hAnsi="Consolas"/>
      <w:noProof w:val="0"/>
      <w:sz w:val="20"/>
      <w:szCs w:val="20"/>
      <w:lang w:val="en-AU"/>
    </w:rPr>
  </w:style>
  <w:style w:type="table" w:customStyle="1" w:styleId="MediumGrid11">
    <w:name w:val="Medium Grid 11"/>
    <w:basedOn w:val="TableNormal"/>
    <w:uiPriority w:val="67"/>
    <w:locked/>
    <w:rsid w:val="00F80750"/>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locked/>
    <w:rsid w:val="00F80750"/>
    <w:pPr>
      <w:spacing w:after="0" w:line="240" w:lineRule="auto"/>
    </w:pPr>
    <w:tblPr>
      <w:tblStyleRowBandSize w:val="1"/>
      <w:tblStyleColBandSize w:val="1"/>
      <w:tblInd w:w="0" w:type="dxa"/>
      <w:tblBorders>
        <w:top w:val="single" w:sz="8" w:space="0" w:color="0C75FF" w:themeColor="accent1" w:themeTint="BF"/>
        <w:left w:val="single" w:sz="8" w:space="0" w:color="0C75FF" w:themeColor="accent1" w:themeTint="BF"/>
        <w:bottom w:val="single" w:sz="8" w:space="0" w:color="0C75FF" w:themeColor="accent1" w:themeTint="BF"/>
        <w:right w:val="single" w:sz="8" w:space="0" w:color="0C75FF" w:themeColor="accent1" w:themeTint="BF"/>
        <w:insideH w:val="single" w:sz="8" w:space="0" w:color="0C75FF" w:themeColor="accent1" w:themeTint="BF"/>
        <w:insideV w:val="single" w:sz="8" w:space="0" w:color="0C75FF" w:themeColor="accent1" w:themeTint="BF"/>
      </w:tblBorders>
      <w:tblCellMar>
        <w:top w:w="0" w:type="dxa"/>
        <w:left w:w="108" w:type="dxa"/>
        <w:bottom w:w="0" w:type="dxa"/>
        <w:right w:w="108" w:type="dxa"/>
      </w:tblCellMar>
    </w:tblPr>
    <w:tcPr>
      <w:shd w:val="clear" w:color="auto" w:fill="AED1FF" w:themeFill="accent1" w:themeFillTint="3F"/>
    </w:tcPr>
    <w:tblStylePr w:type="firstRow">
      <w:rPr>
        <w:b/>
        <w:bCs/>
      </w:rPr>
    </w:tblStylePr>
    <w:tblStylePr w:type="lastRow">
      <w:rPr>
        <w:b/>
        <w:bCs/>
      </w:rPr>
      <w:tblPr/>
      <w:tcPr>
        <w:tcBorders>
          <w:top w:val="single" w:sz="18" w:space="0" w:color="0C75FF" w:themeColor="accent1" w:themeTint="BF"/>
        </w:tcBorders>
      </w:tcPr>
    </w:tblStylePr>
    <w:tblStylePr w:type="firstCol">
      <w:rPr>
        <w:b/>
        <w:bCs/>
      </w:rPr>
    </w:tblStylePr>
    <w:tblStylePr w:type="lastCol">
      <w:rPr>
        <w:b/>
        <w:bCs/>
      </w:rPr>
    </w:tblStylePr>
    <w:tblStylePr w:type="band1Vert">
      <w:tblPr/>
      <w:tcPr>
        <w:shd w:val="clear" w:color="auto" w:fill="5DA3FF" w:themeFill="accent1" w:themeFillTint="7F"/>
      </w:tcPr>
    </w:tblStylePr>
    <w:tblStylePr w:type="band1Horz">
      <w:tblPr/>
      <w:tcPr>
        <w:shd w:val="clear" w:color="auto" w:fill="5DA3FF" w:themeFill="accent1" w:themeFillTint="7F"/>
      </w:tcPr>
    </w:tblStylePr>
  </w:style>
  <w:style w:type="table" w:styleId="MediumGrid1-Accent2">
    <w:name w:val="Medium Grid 1 Accent 2"/>
    <w:basedOn w:val="TableNormal"/>
    <w:uiPriority w:val="67"/>
    <w:locked/>
    <w:rsid w:val="00F80750"/>
    <w:pPr>
      <w:spacing w:after="0" w:line="240" w:lineRule="auto"/>
    </w:pPr>
    <w:tblPr>
      <w:tblStyleRowBandSize w:val="1"/>
      <w:tblStyleColBandSize w:val="1"/>
      <w:tblInd w:w="0" w:type="dxa"/>
      <w:tblBorders>
        <w:top w:val="single" w:sz="8" w:space="0" w:color="FFD456" w:themeColor="accent2" w:themeTint="BF"/>
        <w:left w:val="single" w:sz="8" w:space="0" w:color="FFD456" w:themeColor="accent2" w:themeTint="BF"/>
        <w:bottom w:val="single" w:sz="8" w:space="0" w:color="FFD456" w:themeColor="accent2" w:themeTint="BF"/>
        <w:right w:val="single" w:sz="8" w:space="0" w:color="FFD456" w:themeColor="accent2" w:themeTint="BF"/>
        <w:insideH w:val="single" w:sz="8" w:space="0" w:color="FFD456" w:themeColor="accent2" w:themeTint="BF"/>
        <w:insideV w:val="single" w:sz="8" w:space="0" w:color="FFD456" w:themeColor="accent2" w:themeTint="BF"/>
      </w:tblBorders>
      <w:tblCellMar>
        <w:top w:w="0" w:type="dxa"/>
        <w:left w:w="108" w:type="dxa"/>
        <w:bottom w:w="0" w:type="dxa"/>
        <w:right w:w="108" w:type="dxa"/>
      </w:tblCellMar>
    </w:tblPr>
    <w:tcPr>
      <w:shd w:val="clear" w:color="auto" w:fill="FFF0C7" w:themeFill="accent2" w:themeFillTint="3F"/>
    </w:tcPr>
    <w:tblStylePr w:type="firstRow">
      <w:rPr>
        <w:b/>
        <w:bCs/>
      </w:rPr>
    </w:tblStylePr>
    <w:tblStylePr w:type="lastRow">
      <w:rPr>
        <w:b/>
        <w:bCs/>
      </w:rPr>
      <w:tblPr/>
      <w:tcPr>
        <w:tcBorders>
          <w:top w:val="single" w:sz="18" w:space="0" w:color="FFD456" w:themeColor="accent2" w:themeTint="BF"/>
        </w:tcBorders>
      </w:tcPr>
    </w:tblStylePr>
    <w:tblStylePr w:type="firstCol">
      <w:rPr>
        <w:b/>
        <w:bCs/>
      </w:rPr>
    </w:tblStylePr>
    <w:tblStylePr w:type="lastCol">
      <w:rPr>
        <w:b/>
        <w:bCs/>
      </w:rPr>
    </w:tblStylePr>
    <w:tblStylePr w:type="band1Vert">
      <w:tblPr/>
      <w:tcPr>
        <w:shd w:val="clear" w:color="auto" w:fill="FFE28E" w:themeFill="accent2" w:themeFillTint="7F"/>
      </w:tcPr>
    </w:tblStylePr>
    <w:tblStylePr w:type="band1Horz">
      <w:tblPr/>
      <w:tcPr>
        <w:shd w:val="clear" w:color="auto" w:fill="FFE28E" w:themeFill="accent2" w:themeFillTint="7F"/>
      </w:tcPr>
    </w:tblStylePr>
  </w:style>
  <w:style w:type="table" w:styleId="MediumGrid1-Accent3">
    <w:name w:val="Medium Grid 1 Accent 3"/>
    <w:basedOn w:val="TableNormal"/>
    <w:uiPriority w:val="67"/>
    <w:locked/>
    <w:rsid w:val="00F80750"/>
    <w:pPr>
      <w:spacing w:after="0" w:line="240" w:lineRule="auto"/>
    </w:pPr>
    <w:tblPr>
      <w:tblStyleRowBandSize w:val="1"/>
      <w:tblStyleColBandSize w:val="1"/>
      <w:tblInd w:w="0" w:type="dxa"/>
      <w:tblBorders>
        <w:top w:val="single" w:sz="8" w:space="0" w:color="6CACFF" w:themeColor="accent3" w:themeTint="BF"/>
        <w:left w:val="single" w:sz="8" w:space="0" w:color="6CACFF" w:themeColor="accent3" w:themeTint="BF"/>
        <w:bottom w:val="single" w:sz="8" w:space="0" w:color="6CACFF" w:themeColor="accent3" w:themeTint="BF"/>
        <w:right w:val="single" w:sz="8" w:space="0" w:color="6CACFF" w:themeColor="accent3" w:themeTint="BF"/>
        <w:insideH w:val="single" w:sz="8" w:space="0" w:color="6CACFF" w:themeColor="accent3" w:themeTint="BF"/>
        <w:insideV w:val="single" w:sz="8" w:space="0" w:color="6CACFF" w:themeColor="accent3" w:themeTint="BF"/>
      </w:tblBorders>
      <w:tblCellMar>
        <w:top w:w="0" w:type="dxa"/>
        <w:left w:w="108" w:type="dxa"/>
        <w:bottom w:w="0" w:type="dxa"/>
        <w:right w:w="108" w:type="dxa"/>
      </w:tblCellMar>
    </w:tblPr>
    <w:tcPr>
      <w:shd w:val="clear" w:color="auto" w:fill="CEE3FF" w:themeFill="accent3" w:themeFillTint="3F"/>
    </w:tcPr>
    <w:tblStylePr w:type="firstRow">
      <w:rPr>
        <w:b/>
        <w:bCs/>
      </w:rPr>
    </w:tblStylePr>
    <w:tblStylePr w:type="lastRow">
      <w:rPr>
        <w:b/>
        <w:bCs/>
      </w:rPr>
      <w:tblPr/>
      <w:tcPr>
        <w:tcBorders>
          <w:top w:val="single" w:sz="18" w:space="0" w:color="6CACFF" w:themeColor="accent3" w:themeTint="BF"/>
        </w:tcBorders>
      </w:tcPr>
    </w:tblStylePr>
    <w:tblStylePr w:type="firstCol">
      <w:rPr>
        <w:b/>
        <w:bCs/>
      </w:rPr>
    </w:tblStylePr>
    <w:tblStylePr w:type="lastCol">
      <w:rPr>
        <w:b/>
        <w:bCs/>
      </w:rPr>
    </w:tblStylePr>
    <w:tblStylePr w:type="band1Vert">
      <w:tblPr/>
      <w:tcPr>
        <w:shd w:val="clear" w:color="auto" w:fill="9DC8FF" w:themeFill="accent3" w:themeFillTint="7F"/>
      </w:tcPr>
    </w:tblStylePr>
    <w:tblStylePr w:type="band1Horz">
      <w:tblPr/>
      <w:tcPr>
        <w:shd w:val="clear" w:color="auto" w:fill="9DC8FF" w:themeFill="accent3" w:themeFillTint="7F"/>
      </w:tcPr>
    </w:tblStylePr>
  </w:style>
  <w:style w:type="table" w:styleId="MediumGrid1-Accent4">
    <w:name w:val="Medium Grid 1 Accent 4"/>
    <w:basedOn w:val="TableNormal"/>
    <w:uiPriority w:val="67"/>
    <w:locked/>
    <w:rsid w:val="00F80750"/>
    <w:pPr>
      <w:spacing w:after="0" w:line="240" w:lineRule="auto"/>
    </w:pPr>
    <w:tblPr>
      <w:tblStyleRowBandSize w:val="1"/>
      <w:tblStyleColBandSize w:val="1"/>
      <w:tblInd w:w="0" w:type="dxa"/>
      <w:tblBorders>
        <w:top w:val="single" w:sz="8" w:space="0" w:color="FFE499" w:themeColor="accent4" w:themeTint="BF"/>
        <w:left w:val="single" w:sz="8" w:space="0" w:color="FFE499" w:themeColor="accent4" w:themeTint="BF"/>
        <w:bottom w:val="single" w:sz="8" w:space="0" w:color="FFE499" w:themeColor="accent4" w:themeTint="BF"/>
        <w:right w:val="single" w:sz="8" w:space="0" w:color="FFE499" w:themeColor="accent4" w:themeTint="BF"/>
        <w:insideH w:val="single" w:sz="8" w:space="0" w:color="FFE499" w:themeColor="accent4" w:themeTint="BF"/>
        <w:insideV w:val="single" w:sz="8" w:space="0" w:color="FFE499" w:themeColor="accent4" w:themeTint="BF"/>
      </w:tblBorders>
      <w:tblCellMar>
        <w:top w:w="0" w:type="dxa"/>
        <w:left w:w="108" w:type="dxa"/>
        <w:bottom w:w="0" w:type="dxa"/>
        <w:right w:w="108" w:type="dxa"/>
      </w:tblCellMar>
    </w:tblPr>
    <w:tcPr>
      <w:shd w:val="clear" w:color="auto" w:fill="FFF6DD" w:themeFill="accent4" w:themeFillTint="3F"/>
    </w:tcPr>
    <w:tblStylePr w:type="firstRow">
      <w:rPr>
        <w:b/>
        <w:bCs/>
      </w:rPr>
    </w:tblStylePr>
    <w:tblStylePr w:type="lastRow">
      <w:rPr>
        <w:b/>
        <w:bCs/>
      </w:rPr>
      <w:tblPr/>
      <w:tcPr>
        <w:tcBorders>
          <w:top w:val="single" w:sz="18" w:space="0" w:color="FFE499" w:themeColor="accent4" w:themeTint="BF"/>
        </w:tcBorders>
      </w:tcPr>
    </w:tblStylePr>
    <w:tblStylePr w:type="firstCol">
      <w:rPr>
        <w:b/>
        <w:bCs/>
      </w:rPr>
    </w:tblStylePr>
    <w:tblStylePr w:type="lastCol">
      <w:rPr>
        <w:b/>
        <w:bCs/>
      </w:rPr>
    </w:tblStylePr>
    <w:tblStylePr w:type="band1Vert">
      <w:tblPr/>
      <w:tcPr>
        <w:shd w:val="clear" w:color="auto" w:fill="FFEDBB" w:themeFill="accent4" w:themeFillTint="7F"/>
      </w:tcPr>
    </w:tblStylePr>
    <w:tblStylePr w:type="band1Horz">
      <w:tblPr/>
      <w:tcPr>
        <w:shd w:val="clear" w:color="auto" w:fill="FFEDBB" w:themeFill="accent4" w:themeFillTint="7F"/>
      </w:tcPr>
    </w:tblStylePr>
  </w:style>
  <w:style w:type="table" w:styleId="MediumGrid1-Accent5">
    <w:name w:val="Medium Grid 1 Accent 5"/>
    <w:basedOn w:val="TableNormal"/>
    <w:uiPriority w:val="67"/>
    <w:locked/>
    <w:rsid w:val="00F80750"/>
    <w:pPr>
      <w:spacing w:after="0" w:line="240" w:lineRule="auto"/>
    </w:pPr>
    <w:tblPr>
      <w:tblStyleRowBandSize w:val="1"/>
      <w:tblStyleColBandSize w:val="1"/>
      <w:tblInd w:w="0" w:type="dxa"/>
      <w:tblBorders>
        <w:top w:val="single" w:sz="8" w:space="0" w:color="CEE2FF" w:themeColor="accent5" w:themeTint="BF"/>
        <w:left w:val="single" w:sz="8" w:space="0" w:color="CEE2FF" w:themeColor="accent5" w:themeTint="BF"/>
        <w:bottom w:val="single" w:sz="8" w:space="0" w:color="CEE2FF" w:themeColor="accent5" w:themeTint="BF"/>
        <w:right w:val="single" w:sz="8" w:space="0" w:color="CEE2FF" w:themeColor="accent5" w:themeTint="BF"/>
        <w:insideH w:val="single" w:sz="8" w:space="0" w:color="CEE2FF" w:themeColor="accent5" w:themeTint="BF"/>
        <w:insideV w:val="single" w:sz="8" w:space="0" w:color="CEE2FF" w:themeColor="accent5" w:themeTint="BF"/>
      </w:tblBorders>
      <w:tblCellMar>
        <w:top w:w="0" w:type="dxa"/>
        <w:left w:w="108" w:type="dxa"/>
        <w:bottom w:w="0" w:type="dxa"/>
        <w:right w:w="108" w:type="dxa"/>
      </w:tblCellMar>
    </w:tblPr>
    <w:tcPr>
      <w:shd w:val="clear" w:color="auto" w:fill="EEF5FF" w:themeFill="accent5" w:themeFillTint="3F"/>
    </w:tcPr>
    <w:tblStylePr w:type="firstRow">
      <w:rPr>
        <w:b/>
        <w:bCs/>
      </w:rPr>
    </w:tblStylePr>
    <w:tblStylePr w:type="lastRow">
      <w:rPr>
        <w:b/>
        <w:bCs/>
      </w:rPr>
      <w:tblPr/>
      <w:tcPr>
        <w:tcBorders>
          <w:top w:val="single" w:sz="18" w:space="0" w:color="CEE2FF" w:themeColor="accent5" w:themeTint="BF"/>
        </w:tcBorders>
      </w:tcPr>
    </w:tblStylePr>
    <w:tblStylePr w:type="firstCol">
      <w:rPr>
        <w:b/>
        <w:bCs/>
      </w:rPr>
    </w:tblStylePr>
    <w:tblStylePr w:type="lastCol">
      <w:rPr>
        <w:b/>
        <w:bCs/>
      </w:rPr>
    </w:tblStylePr>
    <w:tblStylePr w:type="band1Vert">
      <w:tblPr/>
      <w:tcPr>
        <w:shd w:val="clear" w:color="auto" w:fill="DEECFF" w:themeFill="accent5" w:themeFillTint="7F"/>
      </w:tcPr>
    </w:tblStylePr>
    <w:tblStylePr w:type="band1Horz">
      <w:tblPr/>
      <w:tcPr>
        <w:shd w:val="clear" w:color="auto" w:fill="DEECFF" w:themeFill="accent5" w:themeFillTint="7F"/>
      </w:tcPr>
    </w:tblStylePr>
  </w:style>
  <w:style w:type="table" w:styleId="MediumGrid1-Accent6">
    <w:name w:val="Medium Grid 1 Accent 6"/>
    <w:basedOn w:val="TableNormal"/>
    <w:uiPriority w:val="67"/>
    <w:locked/>
    <w:rsid w:val="00F80750"/>
    <w:pPr>
      <w:spacing w:after="0" w:line="240" w:lineRule="auto"/>
    </w:pPr>
    <w:tblPr>
      <w:tblStyleRowBandSize w:val="1"/>
      <w:tblStyleColBandSize w:val="1"/>
      <w:tblInd w:w="0" w:type="dxa"/>
      <w:tblBorders>
        <w:top w:val="single" w:sz="8" w:space="0" w:color="FFF5DD" w:themeColor="accent6" w:themeTint="BF"/>
        <w:left w:val="single" w:sz="8" w:space="0" w:color="FFF5DD" w:themeColor="accent6" w:themeTint="BF"/>
        <w:bottom w:val="single" w:sz="8" w:space="0" w:color="FFF5DD" w:themeColor="accent6" w:themeTint="BF"/>
        <w:right w:val="single" w:sz="8" w:space="0" w:color="FFF5DD" w:themeColor="accent6" w:themeTint="BF"/>
        <w:insideH w:val="single" w:sz="8" w:space="0" w:color="FFF5DD" w:themeColor="accent6" w:themeTint="BF"/>
        <w:insideV w:val="single" w:sz="8" w:space="0" w:color="FFF5DD" w:themeColor="accent6" w:themeTint="BF"/>
      </w:tblBorders>
      <w:tblCellMar>
        <w:top w:w="0" w:type="dxa"/>
        <w:left w:w="108" w:type="dxa"/>
        <w:bottom w:w="0" w:type="dxa"/>
        <w:right w:w="108" w:type="dxa"/>
      </w:tblCellMar>
    </w:tblPr>
    <w:tcPr>
      <w:shd w:val="clear" w:color="auto" w:fill="FFFBF3" w:themeFill="accent6" w:themeFillTint="3F"/>
    </w:tcPr>
    <w:tblStylePr w:type="firstRow">
      <w:rPr>
        <w:b/>
        <w:bCs/>
      </w:rPr>
    </w:tblStylePr>
    <w:tblStylePr w:type="lastRow">
      <w:rPr>
        <w:b/>
        <w:bCs/>
      </w:rPr>
      <w:tblPr/>
      <w:tcPr>
        <w:tcBorders>
          <w:top w:val="single" w:sz="18" w:space="0" w:color="FFF5DD" w:themeColor="accent6" w:themeTint="BF"/>
        </w:tcBorders>
      </w:tcPr>
    </w:tblStylePr>
    <w:tblStylePr w:type="firstCol">
      <w:rPr>
        <w:b/>
        <w:bCs/>
      </w:rPr>
    </w:tblStylePr>
    <w:tblStylePr w:type="lastCol">
      <w:rPr>
        <w:b/>
        <w:bCs/>
      </w:rPr>
    </w:tblStylePr>
    <w:tblStylePr w:type="band1Vert">
      <w:tblPr/>
      <w:tcPr>
        <w:shd w:val="clear" w:color="auto" w:fill="FFF8E8" w:themeFill="accent6" w:themeFillTint="7F"/>
      </w:tcPr>
    </w:tblStylePr>
    <w:tblStylePr w:type="band1Horz">
      <w:tblPr/>
      <w:tcPr>
        <w:shd w:val="clear" w:color="auto" w:fill="FFF8E8" w:themeFill="accent6" w:themeFillTint="7F"/>
      </w:tcPr>
    </w:tblStylePr>
  </w:style>
  <w:style w:type="table" w:customStyle="1" w:styleId="MediumGrid21">
    <w:name w:val="Medium Grid 21"/>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51BA" w:themeColor="accent1"/>
        <w:left w:val="single" w:sz="8" w:space="0" w:color="0051BA" w:themeColor="accent1"/>
        <w:bottom w:val="single" w:sz="8" w:space="0" w:color="0051BA" w:themeColor="accent1"/>
        <w:right w:val="single" w:sz="8" w:space="0" w:color="0051BA" w:themeColor="accent1"/>
        <w:insideH w:val="single" w:sz="8" w:space="0" w:color="0051BA" w:themeColor="accent1"/>
        <w:insideV w:val="single" w:sz="8" w:space="0" w:color="0051BA" w:themeColor="accent1"/>
      </w:tblBorders>
      <w:tblCellMar>
        <w:top w:w="0" w:type="dxa"/>
        <w:left w:w="108" w:type="dxa"/>
        <w:bottom w:w="0" w:type="dxa"/>
        <w:right w:w="108" w:type="dxa"/>
      </w:tblCellMar>
    </w:tblPr>
    <w:tcPr>
      <w:shd w:val="clear" w:color="auto" w:fill="AED1FF" w:themeFill="accent1" w:themeFillTint="3F"/>
    </w:tcPr>
    <w:tblStylePr w:type="firstRow">
      <w:rPr>
        <w:b/>
        <w:bCs/>
        <w:color w:val="000000" w:themeColor="text1"/>
      </w:rPr>
      <w:tblPr/>
      <w:tcPr>
        <w:shd w:val="clear" w:color="auto" w:fill="DFEC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EDAFF" w:themeFill="accent1" w:themeFillTint="33"/>
      </w:tcPr>
    </w:tblStylePr>
    <w:tblStylePr w:type="band1Vert">
      <w:tblPr/>
      <w:tcPr>
        <w:shd w:val="clear" w:color="auto" w:fill="5DA3FF" w:themeFill="accent1" w:themeFillTint="7F"/>
      </w:tcPr>
    </w:tblStylePr>
    <w:tblStylePr w:type="band1Horz">
      <w:tblPr/>
      <w:tcPr>
        <w:tcBorders>
          <w:insideH w:val="single" w:sz="6" w:space="0" w:color="0051BA" w:themeColor="accent1"/>
          <w:insideV w:val="single" w:sz="6" w:space="0" w:color="0051BA" w:themeColor="accent1"/>
        </w:tcBorders>
        <w:shd w:val="clear" w:color="auto" w:fill="5DA3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C61E" w:themeColor="accent2"/>
        <w:left w:val="single" w:sz="8" w:space="0" w:color="FFC61E" w:themeColor="accent2"/>
        <w:bottom w:val="single" w:sz="8" w:space="0" w:color="FFC61E" w:themeColor="accent2"/>
        <w:right w:val="single" w:sz="8" w:space="0" w:color="FFC61E" w:themeColor="accent2"/>
        <w:insideH w:val="single" w:sz="8" w:space="0" w:color="FFC61E" w:themeColor="accent2"/>
        <w:insideV w:val="single" w:sz="8" w:space="0" w:color="FFC61E" w:themeColor="accent2"/>
      </w:tblBorders>
      <w:tblCellMar>
        <w:top w:w="0" w:type="dxa"/>
        <w:left w:w="108" w:type="dxa"/>
        <w:bottom w:w="0" w:type="dxa"/>
        <w:right w:w="108" w:type="dxa"/>
      </w:tblCellMar>
    </w:tblPr>
    <w:tcPr>
      <w:shd w:val="clear" w:color="auto" w:fill="FFF0C7" w:themeFill="accent2" w:themeFillTint="3F"/>
    </w:tcPr>
    <w:tblStylePr w:type="firstRow">
      <w:rPr>
        <w:b/>
        <w:bCs/>
        <w:color w:val="000000" w:themeColor="text1"/>
      </w:rPr>
      <w:tblPr/>
      <w:tcPr>
        <w:shd w:val="clear" w:color="auto" w:fill="FFF9E8"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3D2" w:themeFill="accent2" w:themeFillTint="33"/>
      </w:tcPr>
    </w:tblStylePr>
    <w:tblStylePr w:type="band1Vert">
      <w:tblPr/>
      <w:tcPr>
        <w:shd w:val="clear" w:color="auto" w:fill="FFE28E" w:themeFill="accent2" w:themeFillTint="7F"/>
      </w:tcPr>
    </w:tblStylePr>
    <w:tblStylePr w:type="band1Horz">
      <w:tblPr/>
      <w:tcPr>
        <w:tcBorders>
          <w:insideH w:val="single" w:sz="6" w:space="0" w:color="FFC61E" w:themeColor="accent2"/>
          <w:insideV w:val="single" w:sz="6" w:space="0" w:color="FFC61E" w:themeColor="accent2"/>
        </w:tcBorders>
        <w:shd w:val="clear" w:color="auto" w:fill="FFE28E"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3C91FF" w:themeColor="accent3"/>
        <w:left w:val="single" w:sz="8" w:space="0" w:color="3C91FF" w:themeColor="accent3"/>
        <w:bottom w:val="single" w:sz="8" w:space="0" w:color="3C91FF" w:themeColor="accent3"/>
        <w:right w:val="single" w:sz="8" w:space="0" w:color="3C91FF" w:themeColor="accent3"/>
        <w:insideH w:val="single" w:sz="8" w:space="0" w:color="3C91FF" w:themeColor="accent3"/>
        <w:insideV w:val="single" w:sz="8" w:space="0" w:color="3C91FF" w:themeColor="accent3"/>
      </w:tblBorders>
      <w:tblCellMar>
        <w:top w:w="0" w:type="dxa"/>
        <w:left w:w="108" w:type="dxa"/>
        <w:bottom w:w="0" w:type="dxa"/>
        <w:right w:w="108" w:type="dxa"/>
      </w:tblCellMar>
    </w:tblPr>
    <w:tcPr>
      <w:shd w:val="clear" w:color="auto" w:fill="CEE3FF" w:themeFill="accent3" w:themeFillTint="3F"/>
    </w:tcPr>
    <w:tblStylePr w:type="firstRow">
      <w:rPr>
        <w:b/>
        <w:bCs/>
        <w:color w:val="000000" w:themeColor="text1"/>
      </w:rPr>
      <w:tblPr/>
      <w:tcPr>
        <w:shd w:val="clear" w:color="auto" w:fill="EBF4F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8E8FF" w:themeFill="accent3" w:themeFillTint="33"/>
      </w:tcPr>
    </w:tblStylePr>
    <w:tblStylePr w:type="band1Vert">
      <w:tblPr/>
      <w:tcPr>
        <w:shd w:val="clear" w:color="auto" w:fill="9DC8FF" w:themeFill="accent3" w:themeFillTint="7F"/>
      </w:tcPr>
    </w:tblStylePr>
    <w:tblStylePr w:type="band1Horz">
      <w:tblPr/>
      <w:tcPr>
        <w:tcBorders>
          <w:insideH w:val="single" w:sz="6" w:space="0" w:color="3C91FF" w:themeColor="accent3"/>
          <w:insideV w:val="single" w:sz="6" w:space="0" w:color="3C91FF" w:themeColor="accent3"/>
        </w:tcBorders>
        <w:shd w:val="clear" w:color="auto" w:fill="9DC8F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DC77" w:themeColor="accent4"/>
        <w:left w:val="single" w:sz="8" w:space="0" w:color="FFDC77" w:themeColor="accent4"/>
        <w:bottom w:val="single" w:sz="8" w:space="0" w:color="FFDC77" w:themeColor="accent4"/>
        <w:right w:val="single" w:sz="8" w:space="0" w:color="FFDC77" w:themeColor="accent4"/>
        <w:insideH w:val="single" w:sz="8" w:space="0" w:color="FFDC77" w:themeColor="accent4"/>
        <w:insideV w:val="single" w:sz="8" w:space="0" w:color="FFDC77" w:themeColor="accent4"/>
      </w:tblBorders>
      <w:tblCellMar>
        <w:top w:w="0" w:type="dxa"/>
        <w:left w:w="108" w:type="dxa"/>
        <w:bottom w:w="0" w:type="dxa"/>
        <w:right w:w="108" w:type="dxa"/>
      </w:tblCellMar>
    </w:tblPr>
    <w:tcPr>
      <w:shd w:val="clear" w:color="auto" w:fill="FFF6DD" w:themeFill="accent4" w:themeFillTint="3F"/>
    </w:tcPr>
    <w:tblStylePr w:type="firstRow">
      <w:rPr>
        <w:b/>
        <w:bCs/>
        <w:color w:val="000000" w:themeColor="text1"/>
      </w:rPr>
      <w:tblPr/>
      <w:tcPr>
        <w:shd w:val="clear" w:color="auto" w:fill="FFFBF1"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7E3" w:themeFill="accent4" w:themeFillTint="33"/>
      </w:tcPr>
    </w:tblStylePr>
    <w:tblStylePr w:type="band1Vert">
      <w:tblPr/>
      <w:tcPr>
        <w:shd w:val="clear" w:color="auto" w:fill="FFEDBB" w:themeFill="accent4" w:themeFillTint="7F"/>
      </w:tcPr>
    </w:tblStylePr>
    <w:tblStylePr w:type="band1Horz">
      <w:tblPr/>
      <w:tcPr>
        <w:tcBorders>
          <w:insideH w:val="single" w:sz="6" w:space="0" w:color="FFDC77" w:themeColor="accent4"/>
          <w:insideV w:val="single" w:sz="6" w:space="0" w:color="FFDC77" w:themeColor="accent4"/>
        </w:tcBorders>
        <w:shd w:val="clear" w:color="auto" w:fill="FFEDB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BEDAFF" w:themeColor="accent5"/>
        <w:left w:val="single" w:sz="8" w:space="0" w:color="BEDAFF" w:themeColor="accent5"/>
        <w:bottom w:val="single" w:sz="8" w:space="0" w:color="BEDAFF" w:themeColor="accent5"/>
        <w:right w:val="single" w:sz="8" w:space="0" w:color="BEDAFF" w:themeColor="accent5"/>
        <w:insideH w:val="single" w:sz="8" w:space="0" w:color="BEDAFF" w:themeColor="accent5"/>
        <w:insideV w:val="single" w:sz="8" w:space="0" w:color="BEDAFF" w:themeColor="accent5"/>
      </w:tblBorders>
      <w:tblCellMar>
        <w:top w:w="0" w:type="dxa"/>
        <w:left w:w="108" w:type="dxa"/>
        <w:bottom w:w="0" w:type="dxa"/>
        <w:right w:w="108" w:type="dxa"/>
      </w:tblCellMar>
    </w:tblPr>
    <w:tcPr>
      <w:shd w:val="clear" w:color="auto" w:fill="EEF5FF" w:themeFill="accent5" w:themeFillTint="3F"/>
    </w:tcPr>
    <w:tblStylePr w:type="firstRow">
      <w:rPr>
        <w:b/>
        <w:bCs/>
        <w:color w:val="000000" w:themeColor="text1"/>
      </w:rPr>
      <w:tblPr/>
      <w:tcPr>
        <w:shd w:val="clear" w:color="auto" w:fill="F8FB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F7FF" w:themeFill="accent5" w:themeFillTint="33"/>
      </w:tcPr>
    </w:tblStylePr>
    <w:tblStylePr w:type="band1Vert">
      <w:tblPr/>
      <w:tcPr>
        <w:shd w:val="clear" w:color="auto" w:fill="DEECFF" w:themeFill="accent5" w:themeFillTint="7F"/>
      </w:tcPr>
    </w:tblStylePr>
    <w:tblStylePr w:type="band1Horz">
      <w:tblPr/>
      <w:tcPr>
        <w:tcBorders>
          <w:insideH w:val="single" w:sz="6" w:space="0" w:color="BEDAFF" w:themeColor="accent5"/>
          <w:insideV w:val="single" w:sz="6" w:space="0" w:color="BEDAFF" w:themeColor="accent5"/>
        </w:tcBorders>
        <w:shd w:val="clear" w:color="auto" w:fill="DEECF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F3D2" w:themeColor="accent6"/>
        <w:left w:val="single" w:sz="8" w:space="0" w:color="FFF3D2" w:themeColor="accent6"/>
        <w:bottom w:val="single" w:sz="8" w:space="0" w:color="FFF3D2" w:themeColor="accent6"/>
        <w:right w:val="single" w:sz="8" w:space="0" w:color="FFF3D2" w:themeColor="accent6"/>
        <w:insideH w:val="single" w:sz="8" w:space="0" w:color="FFF3D2" w:themeColor="accent6"/>
        <w:insideV w:val="single" w:sz="8" w:space="0" w:color="FFF3D2" w:themeColor="accent6"/>
      </w:tblBorders>
      <w:tblCellMar>
        <w:top w:w="0" w:type="dxa"/>
        <w:left w:w="108" w:type="dxa"/>
        <w:bottom w:w="0" w:type="dxa"/>
        <w:right w:w="108" w:type="dxa"/>
      </w:tblCellMar>
    </w:tblPr>
    <w:tcPr>
      <w:shd w:val="clear" w:color="auto" w:fill="FFFBF3" w:themeFill="accent6" w:themeFillTint="3F"/>
    </w:tcPr>
    <w:tblStylePr w:type="firstRow">
      <w:rPr>
        <w:b/>
        <w:bCs/>
        <w:color w:val="000000" w:themeColor="text1"/>
      </w:rPr>
      <w:tblPr/>
      <w:tcPr>
        <w:shd w:val="clear" w:color="auto" w:fill="FFFDFA"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CF6" w:themeFill="accent6" w:themeFillTint="33"/>
      </w:tcPr>
    </w:tblStylePr>
    <w:tblStylePr w:type="band1Vert">
      <w:tblPr/>
      <w:tcPr>
        <w:shd w:val="clear" w:color="auto" w:fill="FFF8E8" w:themeFill="accent6" w:themeFillTint="7F"/>
      </w:tcPr>
    </w:tblStylePr>
    <w:tblStylePr w:type="band1Horz">
      <w:tblPr/>
      <w:tcPr>
        <w:tcBorders>
          <w:insideH w:val="single" w:sz="6" w:space="0" w:color="FFF3D2" w:themeColor="accent6"/>
          <w:insideV w:val="single" w:sz="6" w:space="0" w:color="FFF3D2" w:themeColor="accent6"/>
        </w:tcBorders>
        <w:shd w:val="clear" w:color="auto" w:fill="FFF8E8" w:themeFill="accent6" w:themeFillTint="7F"/>
      </w:tcPr>
    </w:tblStylePr>
    <w:tblStylePr w:type="nwCell">
      <w:tblPr/>
      <w:tcPr>
        <w:shd w:val="clear" w:color="auto" w:fill="FFFFFF" w:themeFill="background1"/>
      </w:tcPr>
    </w:tblStylePr>
  </w:style>
  <w:style w:type="table" w:customStyle="1" w:styleId="MediumGrid31">
    <w:name w:val="Medium Grid 31"/>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AED1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51BA"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51BA"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51BA"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51BA"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DA3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DA3FF" w:themeFill="accent1" w:themeFillTint="7F"/>
      </w:tcPr>
    </w:tblStylePr>
  </w:style>
  <w:style w:type="table" w:styleId="MediumGrid3-Accent2">
    <w:name w:val="Medium Grid 3 Accent 2"/>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FF0C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61E"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61E"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61E"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61E"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E28E"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E28E" w:themeFill="accent2" w:themeFillTint="7F"/>
      </w:tcPr>
    </w:tblStylePr>
  </w:style>
  <w:style w:type="table" w:styleId="MediumGrid3-Accent3">
    <w:name w:val="Medium Grid 3 Accent 3"/>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EE3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C91F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C91F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C91F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C91F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DC8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DC8FF" w:themeFill="accent3" w:themeFillTint="7F"/>
      </w:tcPr>
    </w:tblStylePr>
  </w:style>
  <w:style w:type="table" w:styleId="MediumGrid3-Accent4">
    <w:name w:val="Medium Grid 3 Accent 4"/>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FF6D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DC77"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DC77"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DC77"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DC77"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EDB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EDBB" w:themeFill="accent4" w:themeFillTint="7F"/>
      </w:tcPr>
    </w:tblStylePr>
  </w:style>
  <w:style w:type="table" w:styleId="MediumGrid3-Accent5">
    <w:name w:val="Medium Grid 3 Accent 5"/>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EF5F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EDAFF"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EDAFF"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EDAFF"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EDAFF"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ECF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ECFF" w:themeFill="accent5" w:themeFillTint="7F"/>
      </w:tcPr>
    </w:tblStylePr>
  </w:style>
  <w:style w:type="table" w:styleId="MediumGrid3-Accent6">
    <w:name w:val="Medium Grid 3 Accent 6"/>
    <w:basedOn w:val="TableNormal"/>
    <w:uiPriority w:val="69"/>
    <w:locked/>
    <w:rsid w:val="00F80750"/>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FFBF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F3D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F3D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F3D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F3D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8E8"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8E8" w:themeFill="accent6" w:themeFillTint="7F"/>
      </w:tcPr>
    </w:tblStylePr>
  </w:style>
  <w:style w:type="table" w:customStyle="1" w:styleId="MediumList11">
    <w:name w:val="Medium List 11"/>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MediumList1-Accent11">
    <w:name w:val="Medium List 1 - Accent 11"/>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0051BA" w:themeColor="accent1"/>
        <w:bottom w:val="single" w:sz="8" w:space="0" w:color="0051BA"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51BA" w:themeColor="accent1"/>
        </w:tcBorders>
      </w:tcPr>
    </w:tblStylePr>
    <w:tblStylePr w:type="lastRow">
      <w:rPr>
        <w:b/>
        <w:bCs/>
        <w:color w:val="000000" w:themeColor="text2"/>
      </w:rPr>
      <w:tblPr/>
      <w:tcPr>
        <w:tcBorders>
          <w:top w:val="single" w:sz="8" w:space="0" w:color="0051BA" w:themeColor="accent1"/>
          <w:bottom w:val="single" w:sz="8" w:space="0" w:color="0051BA" w:themeColor="accent1"/>
        </w:tcBorders>
      </w:tcPr>
    </w:tblStylePr>
    <w:tblStylePr w:type="firstCol">
      <w:rPr>
        <w:b/>
        <w:bCs/>
      </w:rPr>
    </w:tblStylePr>
    <w:tblStylePr w:type="lastCol">
      <w:rPr>
        <w:b/>
        <w:bCs/>
      </w:rPr>
      <w:tblPr/>
      <w:tcPr>
        <w:tcBorders>
          <w:top w:val="single" w:sz="8" w:space="0" w:color="0051BA" w:themeColor="accent1"/>
          <w:bottom w:val="single" w:sz="8" w:space="0" w:color="0051BA" w:themeColor="accent1"/>
        </w:tcBorders>
      </w:tcPr>
    </w:tblStylePr>
    <w:tblStylePr w:type="band1Vert">
      <w:tblPr/>
      <w:tcPr>
        <w:shd w:val="clear" w:color="auto" w:fill="AED1FF" w:themeFill="accent1" w:themeFillTint="3F"/>
      </w:tcPr>
    </w:tblStylePr>
    <w:tblStylePr w:type="band1Horz">
      <w:tblPr/>
      <w:tcPr>
        <w:shd w:val="clear" w:color="auto" w:fill="AED1FF" w:themeFill="accent1" w:themeFillTint="3F"/>
      </w:tcPr>
    </w:tblStylePr>
  </w:style>
  <w:style w:type="table" w:styleId="MediumList1-Accent2">
    <w:name w:val="Medium List 1 Accent 2"/>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FFC61E" w:themeColor="accent2"/>
        <w:bottom w:val="single" w:sz="8" w:space="0" w:color="FFC61E"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FC61E" w:themeColor="accent2"/>
        </w:tcBorders>
      </w:tcPr>
    </w:tblStylePr>
    <w:tblStylePr w:type="lastRow">
      <w:rPr>
        <w:b/>
        <w:bCs/>
        <w:color w:val="000000" w:themeColor="text2"/>
      </w:rPr>
      <w:tblPr/>
      <w:tcPr>
        <w:tcBorders>
          <w:top w:val="single" w:sz="8" w:space="0" w:color="FFC61E" w:themeColor="accent2"/>
          <w:bottom w:val="single" w:sz="8" w:space="0" w:color="FFC61E" w:themeColor="accent2"/>
        </w:tcBorders>
      </w:tcPr>
    </w:tblStylePr>
    <w:tblStylePr w:type="firstCol">
      <w:rPr>
        <w:b/>
        <w:bCs/>
      </w:rPr>
    </w:tblStylePr>
    <w:tblStylePr w:type="lastCol">
      <w:rPr>
        <w:b/>
        <w:bCs/>
      </w:rPr>
      <w:tblPr/>
      <w:tcPr>
        <w:tcBorders>
          <w:top w:val="single" w:sz="8" w:space="0" w:color="FFC61E" w:themeColor="accent2"/>
          <w:bottom w:val="single" w:sz="8" w:space="0" w:color="FFC61E" w:themeColor="accent2"/>
        </w:tcBorders>
      </w:tcPr>
    </w:tblStylePr>
    <w:tblStylePr w:type="band1Vert">
      <w:tblPr/>
      <w:tcPr>
        <w:shd w:val="clear" w:color="auto" w:fill="FFF0C7" w:themeFill="accent2" w:themeFillTint="3F"/>
      </w:tcPr>
    </w:tblStylePr>
    <w:tblStylePr w:type="band1Horz">
      <w:tblPr/>
      <w:tcPr>
        <w:shd w:val="clear" w:color="auto" w:fill="FFF0C7" w:themeFill="accent2" w:themeFillTint="3F"/>
      </w:tcPr>
    </w:tblStylePr>
  </w:style>
  <w:style w:type="table" w:styleId="MediumList1-Accent3">
    <w:name w:val="Medium List 1 Accent 3"/>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3C91FF" w:themeColor="accent3"/>
        <w:bottom w:val="single" w:sz="8" w:space="0" w:color="3C91FF"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3C91FF" w:themeColor="accent3"/>
        </w:tcBorders>
      </w:tcPr>
    </w:tblStylePr>
    <w:tblStylePr w:type="lastRow">
      <w:rPr>
        <w:b/>
        <w:bCs/>
        <w:color w:val="000000" w:themeColor="text2"/>
      </w:rPr>
      <w:tblPr/>
      <w:tcPr>
        <w:tcBorders>
          <w:top w:val="single" w:sz="8" w:space="0" w:color="3C91FF" w:themeColor="accent3"/>
          <w:bottom w:val="single" w:sz="8" w:space="0" w:color="3C91FF" w:themeColor="accent3"/>
        </w:tcBorders>
      </w:tcPr>
    </w:tblStylePr>
    <w:tblStylePr w:type="firstCol">
      <w:rPr>
        <w:b/>
        <w:bCs/>
      </w:rPr>
    </w:tblStylePr>
    <w:tblStylePr w:type="lastCol">
      <w:rPr>
        <w:b/>
        <w:bCs/>
      </w:rPr>
      <w:tblPr/>
      <w:tcPr>
        <w:tcBorders>
          <w:top w:val="single" w:sz="8" w:space="0" w:color="3C91FF" w:themeColor="accent3"/>
          <w:bottom w:val="single" w:sz="8" w:space="0" w:color="3C91FF" w:themeColor="accent3"/>
        </w:tcBorders>
      </w:tcPr>
    </w:tblStylePr>
    <w:tblStylePr w:type="band1Vert">
      <w:tblPr/>
      <w:tcPr>
        <w:shd w:val="clear" w:color="auto" w:fill="CEE3FF" w:themeFill="accent3" w:themeFillTint="3F"/>
      </w:tcPr>
    </w:tblStylePr>
    <w:tblStylePr w:type="band1Horz">
      <w:tblPr/>
      <w:tcPr>
        <w:shd w:val="clear" w:color="auto" w:fill="CEE3FF" w:themeFill="accent3" w:themeFillTint="3F"/>
      </w:tcPr>
    </w:tblStylePr>
  </w:style>
  <w:style w:type="table" w:styleId="MediumList1-Accent4">
    <w:name w:val="Medium List 1 Accent 4"/>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FFDC77" w:themeColor="accent4"/>
        <w:bottom w:val="single" w:sz="8" w:space="0" w:color="FFDC77"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FDC77" w:themeColor="accent4"/>
        </w:tcBorders>
      </w:tcPr>
    </w:tblStylePr>
    <w:tblStylePr w:type="lastRow">
      <w:rPr>
        <w:b/>
        <w:bCs/>
        <w:color w:val="000000" w:themeColor="text2"/>
      </w:rPr>
      <w:tblPr/>
      <w:tcPr>
        <w:tcBorders>
          <w:top w:val="single" w:sz="8" w:space="0" w:color="FFDC77" w:themeColor="accent4"/>
          <w:bottom w:val="single" w:sz="8" w:space="0" w:color="FFDC77" w:themeColor="accent4"/>
        </w:tcBorders>
      </w:tcPr>
    </w:tblStylePr>
    <w:tblStylePr w:type="firstCol">
      <w:rPr>
        <w:b/>
        <w:bCs/>
      </w:rPr>
    </w:tblStylePr>
    <w:tblStylePr w:type="lastCol">
      <w:rPr>
        <w:b/>
        <w:bCs/>
      </w:rPr>
      <w:tblPr/>
      <w:tcPr>
        <w:tcBorders>
          <w:top w:val="single" w:sz="8" w:space="0" w:color="FFDC77" w:themeColor="accent4"/>
          <w:bottom w:val="single" w:sz="8" w:space="0" w:color="FFDC77" w:themeColor="accent4"/>
        </w:tcBorders>
      </w:tcPr>
    </w:tblStylePr>
    <w:tblStylePr w:type="band1Vert">
      <w:tblPr/>
      <w:tcPr>
        <w:shd w:val="clear" w:color="auto" w:fill="FFF6DD" w:themeFill="accent4" w:themeFillTint="3F"/>
      </w:tcPr>
    </w:tblStylePr>
    <w:tblStylePr w:type="band1Horz">
      <w:tblPr/>
      <w:tcPr>
        <w:shd w:val="clear" w:color="auto" w:fill="FFF6DD" w:themeFill="accent4" w:themeFillTint="3F"/>
      </w:tcPr>
    </w:tblStylePr>
  </w:style>
  <w:style w:type="table" w:styleId="MediumList1-Accent5">
    <w:name w:val="Medium List 1 Accent 5"/>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BEDAFF" w:themeColor="accent5"/>
        <w:bottom w:val="single" w:sz="8" w:space="0" w:color="BEDAFF"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BEDAFF" w:themeColor="accent5"/>
        </w:tcBorders>
      </w:tcPr>
    </w:tblStylePr>
    <w:tblStylePr w:type="lastRow">
      <w:rPr>
        <w:b/>
        <w:bCs/>
        <w:color w:val="000000" w:themeColor="text2"/>
      </w:rPr>
      <w:tblPr/>
      <w:tcPr>
        <w:tcBorders>
          <w:top w:val="single" w:sz="8" w:space="0" w:color="BEDAFF" w:themeColor="accent5"/>
          <w:bottom w:val="single" w:sz="8" w:space="0" w:color="BEDAFF" w:themeColor="accent5"/>
        </w:tcBorders>
      </w:tcPr>
    </w:tblStylePr>
    <w:tblStylePr w:type="firstCol">
      <w:rPr>
        <w:b/>
        <w:bCs/>
      </w:rPr>
    </w:tblStylePr>
    <w:tblStylePr w:type="lastCol">
      <w:rPr>
        <w:b/>
        <w:bCs/>
      </w:rPr>
      <w:tblPr/>
      <w:tcPr>
        <w:tcBorders>
          <w:top w:val="single" w:sz="8" w:space="0" w:color="BEDAFF" w:themeColor="accent5"/>
          <w:bottom w:val="single" w:sz="8" w:space="0" w:color="BEDAFF" w:themeColor="accent5"/>
        </w:tcBorders>
      </w:tcPr>
    </w:tblStylePr>
    <w:tblStylePr w:type="band1Vert">
      <w:tblPr/>
      <w:tcPr>
        <w:shd w:val="clear" w:color="auto" w:fill="EEF5FF" w:themeFill="accent5" w:themeFillTint="3F"/>
      </w:tcPr>
    </w:tblStylePr>
    <w:tblStylePr w:type="band1Horz">
      <w:tblPr/>
      <w:tcPr>
        <w:shd w:val="clear" w:color="auto" w:fill="EEF5FF" w:themeFill="accent5" w:themeFillTint="3F"/>
      </w:tcPr>
    </w:tblStylePr>
  </w:style>
  <w:style w:type="table" w:styleId="MediumList1-Accent6">
    <w:name w:val="Medium List 1 Accent 6"/>
    <w:basedOn w:val="TableNormal"/>
    <w:uiPriority w:val="65"/>
    <w:locked/>
    <w:rsid w:val="00F80750"/>
    <w:pPr>
      <w:spacing w:after="0" w:line="240" w:lineRule="auto"/>
    </w:pPr>
    <w:rPr>
      <w:color w:val="000000" w:themeColor="text1"/>
    </w:rPr>
    <w:tblPr>
      <w:tblStyleRowBandSize w:val="1"/>
      <w:tblStyleColBandSize w:val="1"/>
      <w:tblInd w:w="0" w:type="dxa"/>
      <w:tblBorders>
        <w:top w:val="single" w:sz="8" w:space="0" w:color="FFF3D2" w:themeColor="accent6"/>
        <w:bottom w:val="single" w:sz="8" w:space="0" w:color="FFF3D2"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FF3D2" w:themeColor="accent6"/>
        </w:tcBorders>
      </w:tcPr>
    </w:tblStylePr>
    <w:tblStylePr w:type="lastRow">
      <w:rPr>
        <w:b/>
        <w:bCs/>
        <w:color w:val="000000" w:themeColor="text2"/>
      </w:rPr>
      <w:tblPr/>
      <w:tcPr>
        <w:tcBorders>
          <w:top w:val="single" w:sz="8" w:space="0" w:color="FFF3D2" w:themeColor="accent6"/>
          <w:bottom w:val="single" w:sz="8" w:space="0" w:color="FFF3D2" w:themeColor="accent6"/>
        </w:tcBorders>
      </w:tcPr>
    </w:tblStylePr>
    <w:tblStylePr w:type="firstCol">
      <w:rPr>
        <w:b/>
        <w:bCs/>
      </w:rPr>
    </w:tblStylePr>
    <w:tblStylePr w:type="lastCol">
      <w:rPr>
        <w:b/>
        <w:bCs/>
      </w:rPr>
      <w:tblPr/>
      <w:tcPr>
        <w:tcBorders>
          <w:top w:val="single" w:sz="8" w:space="0" w:color="FFF3D2" w:themeColor="accent6"/>
          <w:bottom w:val="single" w:sz="8" w:space="0" w:color="FFF3D2" w:themeColor="accent6"/>
        </w:tcBorders>
      </w:tcPr>
    </w:tblStylePr>
    <w:tblStylePr w:type="band1Vert">
      <w:tblPr/>
      <w:tcPr>
        <w:shd w:val="clear" w:color="auto" w:fill="FFFBF3" w:themeFill="accent6" w:themeFillTint="3F"/>
      </w:tcPr>
    </w:tblStylePr>
    <w:tblStylePr w:type="band1Horz">
      <w:tblPr/>
      <w:tcPr>
        <w:shd w:val="clear" w:color="auto" w:fill="FFFBF3" w:themeFill="accent6" w:themeFillTint="3F"/>
      </w:tcPr>
    </w:tblStylePr>
  </w:style>
  <w:style w:type="table" w:customStyle="1" w:styleId="MediumList21">
    <w:name w:val="Medium List 21"/>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51BA" w:themeColor="accent1"/>
        <w:left w:val="single" w:sz="8" w:space="0" w:color="0051BA" w:themeColor="accent1"/>
        <w:bottom w:val="single" w:sz="8" w:space="0" w:color="0051BA" w:themeColor="accent1"/>
        <w:right w:val="single" w:sz="8" w:space="0" w:color="0051BA"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51BA" w:themeColor="accent1"/>
          <w:right w:val="nil"/>
          <w:insideH w:val="nil"/>
          <w:insideV w:val="nil"/>
        </w:tcBorders>
        <w:shd w:val="clear" w:color="auto" w:fill="FFFFFF" w:themeFill="background1"/>
      </w:tcPr>
    </w:tblStylePr>
    <w:tblStylePr w:type="lastRow">
      <w:tblPr/>
      <w:tcPr>
        <w:tcBorders>
          <w:top w:val="single" w:sz="8" w:space="0" w:color="0051BA"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51BA" w:themeColor="accent1"/>
          <w:insideH w:val="nil"/>
          <w:insideV w:val="nil"/>
        </w:tcBorders>
        <w:shd w:val="clear" w:color="auto" w:fill="FFFFFF" w:themeFill="background1"/>
      </w:tcPr>
    </w:tblStylePr>
    <w:tblStylePr w:type="lastCol">
      <w:tblPr/>
      <w:tcPr>
        <w:tcBorders>
          <w:top w:val="nil"/>
          <w:left w:val="single" w:sz="8" w:space="0" w:color="0051BA"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ED1FF" w:themeFill="accent1" w:themeFillTint="3F"/>
      </w:tcPr>
    </w:tblStylePr>
    <w:tblStylePr w:type="band1Horz">
      <w:tblPr/>
      <w:tcPr>
        <w:tcBorders>
          <w:top w:val="nil"/>
          <w:bottom w:val="nil"/>
          <w:insideH w:val="nil"/>
          <w:insideV w:val="nil"/>
        </w:tcBorders>
        <w:shd w:val="clear" w:color="auto" w:fill="AED1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C61E" w:themeColor="accent2"/>
        <w:left w:val="single" w:sz="8" w:space="0" w:color="FFC61E" w:themeColor="accent2"/>
        <w:bottom w:val="single" w:sz="8" w:space="0" w:color="FFC61E" w:themeColor="accent2"/>
        <w:right w:val="single" w:sz="8" w:space="0" w:color="FFC61E"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FFC61E" w:themeColor="accent2"/>
          <w:right w:val="nil"/>
          <w:insideH w:val="nil"/>
          <w:insideV w:val="nil"/>
        </w:tcBorders>
        <w:shd w:val="clear" w:color="auto" w:fill="FFFFFF" w:themeFill="background1"/>
      </w:tcPr>
    </w:tblStylePr>
    <w:tblStylePr w:type="lastRow">
      <w:tblPr/>
      <w:tcPr>
        <w:tcBorders>
          <w:top w:val="single" w:sz="8" w:space="0" w:color="FFC61E"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61E" w:themeColor="accent2"/>
          <w:insideH w:val="nil"/>
          <w:insideV w:val="nil"/>
        </w:tcBorders>
        <w:shd w:val="clear" w:color="auto" w:fill="FFFFFF" w:themeFill="background1"/>
      </w:tcPr>
    </w:tblStylePr>
    <w:tblStylePr w:type="lastCol">
      <w:tblPr/>
      <w:tcPr>
        <w:tcBorders>
          <w:top w:val="nil"/>
          <w:left w:val="single" w:sz="8" w:space="0" w:color="FFC61E"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0C7" w:themeFill="accent2" w:themeFillTint="3F"/>
      </w:tcPr>
    </w:tblStylePr>
    <w:tblStylePr w:type="band1Horz">
      <w:tblPr/>
      <w:tcPr>
        <w:tcBorders>
          <w:top w:val="nil"/>
          <w:bottom w:val="nil"/>
          <w:insideH w:val="nil"/>
          <w:insideV w:val="nil"/>
        </w:tcBorders>
        <w:shd w:val="clear" w:color="auto" w:fill="FFF0C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3C91FF" w:themeColor="accent3"/>
        <w:left w:val="single" w:sz="8" w:space="0" w:color="3C91FF" w:themeColor="accent3"/>
        <w:bottom w:val="single" w:sz="8" w:space="0" w:color="3C91FF" w:themeColor="accent3"/>
        <w:right w:val="single" w:sz="8" w:space="0" w:color="3C91FF"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3C91FF" w:themeColor="accent3"/>
          <w:right w:val="nil"/>
          <w:insideH w:val="nil"/>
          <w:insideV w:val="nil"/>
        </w:tcBorders>
        <w:shd w:val="clear" w:color="auto" w:fill="FFFFFF" w:themeFill="background1"/>
      </w:tcPr>
    </w:tblStylePr>
    <w:tblStylePr w:type="lastRow">
      <w:tblPr/>
      <w:tcPr>
        <w:tcBorders>
          <w:top w:val="single" w:sz="8" w:space="0" w:color="3C91F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C91FF" w:themeColor="accent3"/>
          <w:insideH w:val="nil"/>
          <w:insideV w:val="nil"/>
        </w:tcBorders>
        <w:shd w:val="clear" w:color="auto" w:fill="FFFFFF" w:themeFill="background1"/>
      </w:tcPr>
    </w:tblStylePr>
    <w:tblStylePr w:type="lastCol">
      <w:tblPr/>
      <w:tcPr>
        <w:tcBorders>
          <w:top w:val="nil"/>
          <w:left w:val="single" w:sz="8" w:space="0" w:color="3C91F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EE3FF" w:themeFill="accent3" w:themeFillTint="3F"/>
      </w:tcPr>
    </w:tblStylePr>
    <w:tblStylePr w:type="band1Horz">
      <w:tblPr/>
      <w:tcPr>
        <w:tcBorders>
          <w:top w:val="nil"/>
          <w:bottom w:val="nil"/>
          <w:insideH w:val="nil"/>
          <w:insideV w:val="nil"/>
        </w:tcBorders>
        <w:shd w:val="clear" w:color="auto" w:fill="CEE3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DC77" w:themeColor="accent4"/>
        <w:left w:val="single" w:sz="8" w:space="0" w:color="FFDC77" w:themeColor="accent4"/>
        <w:bottom w:val="single" w:sz="8" w:space="0" w:color="FFDC77" w:themeColor="accent4"/>
        <w:right w:val="single" w:sz="8" w:space="0" w:color="FFDC77"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FFDC77" w:themeColor="accent4"/>
          <w:right w:val="nil"/>
          <w:insideH w:val="nil"/>
          <w:insideV w:val="nil"/>
        </w:tcBorders>
        <w:shd w:val="clear" w:color="auto" w:fill="FFFFFF" w:themeFill="background1"/>
      </w:tcPr>
    </w:tblStylePr>
    <w:tblStylePr w:type="lastRow">
      <w:tblPr/>
      <w:tcPr>
        <w:tcBorders>
          <w:top w:val="single" w:sz="8" w:space="0" w:color="FFDC77"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DC77" w:themeColor="accent4"/>
          <w:insideH w:val="nil"/>
          <w:insideV w:val="nil"/>
        </w:tcBorders>
        <w:shd w:val="clear" w:color="auto" w:fill="FFFFFF" w:themeFill="background1"/>
      </w:tcPr>
    </w:tblStylePr>
    <w:tblStylePr w:type="lastCol">
      <w:tblPr/>
      <w:tcPr>
        <w:tcBorders>
          <w:top w:val="nil"/>
          <w:left w:val="single" w:sz="8" w:space="0" w:color="FFDC77"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6DD" w:themeFill="accent4" w:themeFillTint="3F"/>
      </w:tcPr>
    </w:tblStylePr>
    <w:tblStylePr w:type="band1Horz">
      <w:tblPr/>
      <w:tcPr>
        <w:tcBorders>
          <w:top w:val="nil"/>
          <w:bottom w:val="nil"/>
          <w:insideH w:val="nil"/>
          <w:insideV w:val="nil"/>
        </w:tcBorders>
        <w:shd w:val="clear" w:color="auto" w:fill="FFF6D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BEDAFF" w:themeColor="accent5"/>
        <w:left w:val="single" w:sz="8" w:space="0" w:color="BEDAFF" w:themeColor="accent5"/>
        <w:bottom w:val="single" w:sz="8" w:space="0" w:color="BEDAFF" w:themeColor="accent5"/>
        <w:right w:val="single" w:sz="8" w:space="0" w:color="BEDAFF"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BEDAFF" w:themeColor="accent5"/>
          <w:right w:val="nil"/>
          <w:insideH w:val="nil"/>
          <w:insideV w:val="nil"/>
        </w:tcBorders>
        <w:shd w:val="clear" w:color="auto" w:fill="FFFFFF" w:themeFill="background1"/>
      </w:tcPr>
    </w:tblStylePr>
    <w:tblStylePr w:type="lastRow">
      <w:tblPr/>
      <w:tcPr>
        <w:tcBorders>
          <w:top w:val="single" w:sz="8" w:space="0" w:color="BEDAFF"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EDAFF" w:themeColor="accent5"/>
          <w:insideH w:val="nil"/>
          <w:insideV w:val="nil"/>
        </w:tcBorders>
        <w:shd w:val="clear" w:color="auto" w:fill="FFFFFF" w:themeFill="background1"/>
      </w:tcPr>
    </w:tblStylePr>
    <w:tblStylePr w:type="lastCol">
      <w:tblPr/>
      <w:tcPr>
        <w:tcBorders>
          <w:top w:val="nil"/>
          <w:left w:val="single" w:sz="8" w:space="0" w:color="BEDAFF"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EF5FF" w:themeFill="accent5" w:themeFillTint="3F"/>
      </w:tcPr>
    </w:tblStylePr>
    <w:tblStylePr w:type="band1Horz">
      <w:tblPr/>
      <w:tcPr>
        <w:tcBorders>
          <w:top w:val="nil"/>
          <w:bottom w:val="nil"/>
          <w:insideH w:val="nil"/>
          <w:insideV w:val="nil"/>
        </w:tcBorders>
        <w:shd w:val="clear" w:color="auto" w:fill="EEF5F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F8075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FF3D2" w:themeColor="accent6"/>
        <w:left w:val="single" w:sz="8" w:space="0" w:color="FFF3D2" w:themeColor="accent6"/>
        <w:bottom w:val="single" w:sz="8" w:space="0" w:color="FFF3D2" w:themeColor="accent6"/>
        <w:right w:val="single" w:sz="8" w:space="0" w:color="FFF3D2"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FF3D2" w:themeColor="accent6"/>
          <w:right w:val="nil"/>
          <w:insideH w:val="nil"/>
          <w:insideV w:val="nil"/>
        </w:tcBorders>
        <w:shd w:val="clear" w:color="auto" w:fill="FFFFFF" w:themeFill="background1"/>
      </w:tcPr>
    </w:tblStylePr>
    <w:tblStylePr w:type="lastRow">
      <w:tblPr/>
      <w:tcPr>
        <w:tcBorders>
          <w:top w:val="single" w:sz="8" w:space="0" w:color="FFF3D2"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F3D2" w:themeColor="accent6"/>
          <w:insideH w:val="nil"/>
          <w:insideV w:val="nil"/>
        </w:tcBorders>
        <w:shd w:val="clear" w:color="auto" w:fill="FFFFFF" w:themeFill="background1"/>
      </w:tcPr>
    </w:tblStylePr>
    <w:tblStylePr w:type="lastCol">
      <w:tblPr/>
      <w:tcPr>
        <w:tcBorders>
          <w:top w:val="nil"/>
          <w:left w:val="single" w:sz="8" w:space="0" w:color="FFF3D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BF3" w:themeFill="accent6" w:themeFillTint="3F"/>
      </w:tcPr>
    </w:tblStylePr>
    <w:tblStylePr w:type="band1Horz">
      <w:tblPr/>
      <w:tcPr>
        <w:tcBorders>
          <w:top w:val="nil"/>
          <w:bottom w:val="nil"/>
          <w:insideH w:val="nil"/>
          <w:insideV w:val="nil"/>
        </w:tcBorders>
        <w:shd w:val="clear" w:color="auto" w:fill="FFFBF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11">
    <w:name w:val="Medium Shading 11"/>
    <w:basedOn w:val="TableNormal"/>
    <w:uiPriority w:val="63"/>
    <w:locked/>
    <w:rsid w:val="00F80750"/>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MediumShading1-Accent11">
    <w:name w:val="Medium Shading 1 - Accent 11"/>
    <w:basedOn w:val="TableNormal"/>
    <w:uiPriority w:val="63"/>
    <w:locked/>
    <w:rsid w:val="00F80750"/>
    <w:pPr>
      <w:spacing w:after="0" w:line="240" w:lineRule="auto"/>
    </w:pPr>
    <w:tblPr>
      <w:tblStyleRowBandSize w:val="1"/>
      <w:tblStyleColBandSize w:val="1"/>
      <w:tblInd w:w="0" w:type="dxa"/>
      <w:tblBorders>
        <w:top w:val="single" w:sz="8" w:space="0" w:color="0C75FF" w:themeColor="accent1" w:themeTint="BF"/>
        <w:left w:val="single" w:sz="8" w:space="0" w:color="0C75FF" w:themeColor="accent1" w:themeTint="BF"/>
        <w:bottom w:val="single" w:sz="8" w:space="0" w:color="0C75FF" w:themeColor="accent1" w:themeTint="BF"/>
        <w:right w:val="single" w:sz="8" w:space="0" w:color="0C75FF" w:themeColor="accent1" w:themeTint="BF"/>
        <w:insideH w:val="single" w:sz="8" w:space="0" w:color="0C75FF"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0C75FF" w:themeColor="accent1" w:themeTint="BF"/>
          <w:left w:val="single" w:sz="8" w:space="0" w:color="0C75FF" w:themeColor="accent1" w:themeTint="BF"/>
          <w:bottom w:val="single" w:sz="8" w:space="0" w:color="0C75FF" w:themeColor="accent1" w:themeTint="BF"/>
          <w:right w:val="single" w:sz="8" w:space="0" w:color="0C75FF" w:themeColor="accent1" w:themeTint="BF"/>
          <w:insideH w:val="nil"/>
          <w:insideV w:val="nil"/>
        </w:tcBorders>
        <w:shd w:val="clear" w:color="auto" w:fill="0051BA" w:themeFill="accent1"/>
      </w:tcPr>
    </w:tblStylePr>
    <w:tblStylePr w:type="lastRow">
      <w:pPr>
        <w:spacing w:before="0" w:after="0" w:line="240" w:lineRule="auto"/>
      </w:pPr>
      <w:rPr>
        <w:b/>
        <w:bCs/>
      </w:rPr>
      <w:tblPr/>
      <w:tcPr>
        <w:tcBorders>
          <w:top w:val="double" w:sz="6" w:space="0" w:color="0C75FF" w:themeColor="accent1" w:themeTint="BF"/>
          <w:left w:val="single" w:sz="8" w:space="0" w:color="0C75FF" w:themeColor="accent1" w:themeTint="BF"/>
          <w:bottom w:val="single" w:sz="8" w:space="0" w:color="0C75FF" w:themeColor="accent1" w:themeTint="BF"/>
          <w:right w:val="single" w:sz="8" w:space="0" w:color="0C75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AED1FF" w:themeFill="accent1" w:themeFillTint="3F"/>
      </w:tcPr>
    </w:tblStylePr>
    <w:tblStylePr w:type="band1Horz">
      <w:tblPr/>
      <w:tcPr>
        <w:tcBorders>
          <w:insideH w:val="nil"/>
          <w:insideV w:val="nil"/>
        </w:tcBorders>
        <w:shd w:val="clear" w:color="auto" w:fill="AED1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F80750"/>
    <w:pPr>
      <w:spacing w:after="0" w:line="240" w:lineRule="auto"/>
    </w:pPr>
    <w:tblPr>
      <w:tblStyleRowBandSize w:val="1"/>
      <w:tblStyleColBandSize w:val="1"/>
      <w:tblInd w:w="0" w:type="dxa"/>
      <w:tblBorders>
        <w:top w:val="single" w:sz="8" w:space="0" w:color="FFD456" w:themeColor="accent2" w:themeTint="BF"/>
        <w:left w:val="single" w:sz="8" w:space="0" w:color="FFD456" w:themeColor="accent2" w:themeTint="BF"/>
        <w:bottom w:val="single" w:sz="8" w:space="0" w:color="FFD456" w:themeColor="accent2" w:themeTint="BF"/>
        <w:right w:val="single" w:sz="8" w:space="0" w:color="FFD456" w:themeColor="accent2" w:themeTint="BF"/>
        <w:insideH w:val="single" w:sz="8" w:space="0" w:color="FFD456"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D456" w:themeColor="accent2" w:themeTint="BF"/>
          <w:left w:val="single" w:sz="8" w:space="0" w:color="FFD456" w:themeColor="accent2" w:themeTint="BF"/>
          <w:bottom w:val="single" w:sz="8" w:space="0" w:color="FFD456" w:themeColor="accent2" w:themeTint="BF"/>
          <w:right w:val="single" w:sz="8" w:space="0" w:color="FFD456" w:themeColor="accent2" w:themeTint="BF"/>
          <w:insideH w:val="nil"/>
          <w:insideV w:val="nil"/>
        </w:tcBorders>
        <w:shd w:val="clear" w:color="auto" w:fill="FFC61E" w:themeFill="accent2"/>
      </w:tcPr>
    </w:tblStylePr>
    <w:tblStylePr w:type="lastRow">
      <w:pPr>
        <w:spacing w:before="0" w:after="0" w:line="240" w:lineRule="auto"/>
      </w:pPr>
      <w:rPr>
        <w:b/>
        <w:bCs/>
      </w:rPr>
      <w:tblPr/>
      <w:tcPr>
        <w:tcBorders>
          <w:top w:val="double" w:sz="6" w:space="0" w:color="FFD456" w:themeColor="accent2" w:themeTint="BF"/>
          <w:left w:val="single" w:sz="8" w:space="0" w:color="FFD456" w:themeColor="accent2" w:themeTint="BF"/>
          <w:bottom w:val="single" w:sz="8" w:space="0" w:color="FFD456" w:themeColor="accent2" w:themeTint="BF"/>
          <w:right w:val="single" w:sz="8" w:space="0" w:color="FFD456" w:themeColor="accent2" w:themeTint="BF"/>
          <w:insideH w:val="nil"/>
          <w:insideV w:val="nil"/>
        </w:tcBorders>
      </w:tcPr>
    </w:tblStylePr>
    <w:tblStylePr w:type="firstCol">
      <w:rPr>
        <w:b/>
        <w:bCs/>
      </w:rPr>
    </w:tblStylePr>
    <w:tblStylePr w:type="lastCol">
      <w:rPr>
        <w:b/>
        <w:bCs/>
      </w:rPr>
    </w:tblStylePr>
    <w:tblStylePr w:type="band1Vert">
      <w:tblPr/>
      <w:tcPr>
        <w:shd w:val="clear" w:color="auto" w:fill="FFF0C7" w:themeFill="accent2" w:themeFillTint="3F"/>
      </w:tcPr>
    </w:tblStylePr>
    <w:tblStylePr w:type="band1Horz">
      <w:tblPr/>
      <w:tcPr>
        <w:tcBorders>
          <w:insideH w:val="nil"/>
          <w:insideV w:val="nil"/>
        </w:tcBorders>
        <w:shd w:val="clear" w:color="auto" w:fill="FFF0C7"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F80750"/>
    <w:pPr>
      <w:spacing w:after="0" w:line="240" w:lineRule="auto"/>
    </w:pPr>
    <w:tblPr>
      <w:tblStyleRowBandSize w:val="1"/>
      <w:tblStyleColBandSize w:val="1"/>
      <w:tblInd w:w="0" w:type="dxa"/>
      <w:tblBorders>
        <w:top w:val="single" w:sz="8" w:space="0" w:color="6CACFF" w:themeColor="accent3" w:themeTint="BF"/>
        <w:left w:val="single" w:sz="8" w:space="0" w:color="6CACFF" w:themeColor="accent3" w:themeTint="BF"/>
        <w:bottom w:val="single" w:sz="8" w:space="0" w:color="6CACFF" w:themeColor="accent3" w:themeTint="BF"/>
        <w:right w:val="single" w:sz="8" w:space="0" w:color="6CACFF" w:themeColor="accent3" w:themeTint="BF"/>
        <w:insideH w:val="single" w:sz="8" w:space="0" w:color="6CACFF"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6CACFF" w:themeColor="accent3" w:themeTint="BF"/>
          <w:left w:val="single" w:sz="8" w:space="0" w:color="6CACFF" w:themeColor="accent3" w:themeTint="BF"/>
          <w:bottom w:val="single" w:sz="8" w:space="0" w:color="6CACFF" w:themeColor="accent3" w:themeTint="BF"/>
          <w:right w:val="single" w:sz="8" w:space="0" w:color="6CACFF" w:themeColor="accent3" w:themeTint="BF"/>
          <w:insideH w:val="nil"/>
          <w:insideV w:val="nil"/>
        </w:tcBorders>
        <w:shd w:val="clear" w:color="auto" w:fill="3C91FF" w:themeFill="accent3"/>
      </w:tcPr>
    </w:tblStylePr>
    <w:tblStylePr w:type="lastRow">
      <w:pPr>
        <w:spacing w:before="0" w:after="0" w:line="240" w:lineRule="auto"/>
      </w:pPr>
      <w:rPr>
        <w:b/>
        <w:bCs/>
      </w:rPr>
      <w:tblPr/>
      <w:tcPr>
        <w:tcBorders>
          <w:top w:val="double" w:sz="6" w:space="0" w:color="6CACFF" w:themeColor="accent3" w:themeTint="BF"/>
          <w:left w:val="single" w:sz="8" w:space="0" w:color="6CACFF" w:themeColor="accent3" w:themeTint="BF"/>
          <w:bottom w:val="single" w:sz="8" w:space="0" w:color="6CACFF" w:themeColor="accent3" w:themeTint="BF"/>
          <w:right w:val="single" w:sz="8" w:space="0" w:color="6CACFF" w:themeColor="accent3" w:themeTint="BF"/>
          <w:insideH w:val="nil"/>
          <w:insideV w:val="nil"/>
        </w:tcBorders>
      </w:tcPr>
    </w:tblStylePr>
    <w:tblStylePr w:type="firstCol">
      <w:rPr>
        <w:b/>
        <w:bCs/>
      </w:rPr>
    </w:tblStylePr>
    <w:tblStylePr w:type="lastCol">
      <w:rPr>
        <w:b/>
        <w:bCs/>
      </w:rPr>
    </w:tblStylePr>
    <w:tblStylePr w:type="band1Vert">
      <w:tblPr/>
      <w:tcPr>
        <w:shd w:val="clear" w:color="auto" w:fill="CEE3FF" w:themeFill="accent3" w:themeFillTint="3F"/>
      </w:tcPr>
    </w:tblStylePr>
    <w:tblStylePr w:type="band1Horz">
      <w:tblPr/>
      <w:tcPr>
        <w:tcBorders>
          <w:insideH w:val="nil"/>
          <w:insideV w:val="nil"/>
        </w:tcBorders>
        <w:shd w:val="clear" w:color="auto" w:fill="CEE3FF"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F80750"/>
    <w:pPr>
      <w:spacing w:after="0" w:line="240" w:lineRule="auto"/>
    </w:pPr>
    <w:tblPr>
      <w:tblStyleRowBandSize w:val="1"/>
      <w:tblStyleColBandSize w:val="1"/>
      <w:tblInd w:w="0" w:type="dxa"/>
      <w:tblBorders>
        <w:top w:val="single" w:sz="8" w:space="0" w:color="FFE499" w:themeColor="accent4" w:themeTint="BF"/>
        <w:left w:val="single" w:sz="8" w:space="0" w:color="FFE499" w:themeColor="accent4" w:themeTint="BF"/>
        <w:bottom w:val="single" w:sz="8" w:space="0" w:color="FFE499" w:themeColor="accent4" w:themeTint="BF"/>
        <w:right w:val="single" w:sz="8" w:space="0" w:color="FFE499" w:themeColor="accent4" w:themeTint="BF"/>
        <w:insideH w:val="single" w:sz="8" w:space="0" w:color="FFE49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E499" w:themeColor="accent4" w:themeTint="BF"/>
          <w:left w:val="single" w:sz="8" w:space="0" w:color="FFE499" w:themeColor="accent4" w:themeTint="BF"/>
          <w:bottom w:val="single" w:sz="8" w:space="0" w:color="FFE499" w:themeColor="accent4" w:themeTint="BF"/>
          <w:right w:val="single" w:sz="8" w:space="0" w:color="FFE499" w:themeColor="accent4" w:themeTint="BF"/>
          <w:insideH w:val="nil"/>
          <w:insideV w:val="nil"/>
        </w:tcBorders>
        <w:shd w:val="clear" w:color="auto" w:fill="FFDC77" w:themeFill="accent4"/>
      </w:tcPr>
    </w:tblStylePr>
    <w:tblStylePr w:type="lastRow">
      <w:pPr>
        <w:spacing w:before="0" w:after="0" w:line="240" w:lineRule="auto"/>
      </w:pPr>
      <w:rPr>
        <w:b/>
        <w:bCs/>
      </w:rPr>
      <w:tblPr/>
      <w:tcPr>
        <w:tcBorders>
          <w:top w:val="double" w:sz="6" w:space="0" w:color="FFE499" w:themeColor="accent4" w:themeTint="BF"/>
          <w:left w:val="single" w:sz="8" w:space="0" w:color="FFE499" w:themeColor="accent4" w:themeTint="BF"/>
          <w:bottom w:val="single" w:sz="8" w:space="0" w:color="FFE499" w:themeColor="accent4" w:themeTint="BF"/>
          <w:right w:val="single" w:sz="8" w:space="0" w:color="FFE499"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F6DD" w:themeFill="accent4" w:themeFillTint="3F"/>
      </w:tcPr>
    </w:tblStylePr>
    <w:tblStylePr w:type="band1Horz">
      <w:tblPr/>
      <w:tcPr>
        <w:tcBorders>
          <w:insideH w:val="nil"/>
          <w:insideV w:val="nil"/>
        </w:tcBorders>
        <w:shd w:val="clear" w:color="auto" w:fill="FFF6D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F80750"/>
    <w:pPr>
      <w:spacing w:after="0" w:line="240" w:lineRule="auto"/>
    </w:pPr>
    <w:tblPr>
      <w:tblStyleRowBandSize w:val="1"/>
      <w:tblStyleColBandSize w:val="1"/>
      <w:tblInd w:w="0" w:type="dxa"/>
      <w:tblBorders>
        <w:top w:val="single" w:sz="8" w:space="0" w:color="CEE2FF" w:themeColor="accent5" w:themeTint="BF"/>
        <w:left w:val="single" w:sz="8" w:space="0" w:color="CEE2FF" w:themeColor="accent5" w:themeTint="BF"/>
        <w:bottom w:val="single" w:sz="8" w:space="0" w:color="CEE2FF" w:themeColor="accent5" w:themeTint="BF"/>
        <w:right w:val="single" w:sz="8" w:space="0" w:color="CEE2FF" w:themeColor="accent5" w:themeTint="BF"/>
        <w:insideH w:val="single" w:sz="8" w:space="0" w:color="CEE2FF"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EE2FF" w:themeColor="accent5" w:themeTint="BF"/>
          <w:left w:val="single" w:sz="8" w:space="0" w:color="CEE2FF" w:themeColor="accent5" w:themeTint="BF"/>
          <w:bottom w:val="single" w:sz="8" w:space="0" w:color="CEE2FF" w:themeColor="accent5" w:themeTint="BF"/>
          <w:right w:val="single" w:sz="8" w:space="0" w:color="CEE2FF" w:themeColor="accent5" w:themeTint="BF"/>
          <w:insideH w:val="nil"/>
          <w:insideV w:val="nil"/>
        </w:tcBorders>
        <w:shd w:val="clear" w:color="auto" w:fill="BEDAFF" w:themeFill="accent5"/>
      </w:tcPr>
    </w:tblStylePr>
    <w:tblStylePr w:type="lastRow">
      <w:pPr>
        <w:spacing w:before="0" w:after="0" w:line="240" w:lineRule="auto"/>
      </w:pPr>
      <w:rPr>
        <w:b/>
        <w:bCs/>
      </w:rPr>
      <w:tblPr/>
      <w:tcPr>
        <w:tcBorders>
          <w:top w:val="double" w:sz="6" w:space="0" w:color="CEE2FF" w:themeColor="accent5" w:themeTint="BF"/>
          <w:left w:val="single" w:sz="8" w:space="0" w:color="CEE2FF" w:themeColor="accent5" w:themeTint="BF"/>
          <w:bottom w:val="single" w:sz="8" w:space="0" w:color="CEE2FF" w:themeColor="accent5" w:themeTint="BF"/>
          <w:right w:val="single" w:sz="8" w:space="0" w:color="CEE2F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EF5FF" w:themeFill="accent5" w:themeFillTint="3F"/>
      </w:tcPr>
    </w:tblStylePr>
    <w:tblStylePr w:type="band1Horz">
      <w:tblPr/>
      <w:tcPr>
        <w:tcBorders>
          <w:insideH w:val="nil"/>
          <w:insideV w:val="nil"/>
        </w:tcBorders>
        <w:shd w:val="clear" w:color="auto" w:fill="EEF5F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F80750"/>
    <w:pPr>
      <w:spacing w:after="0" w:line="240" w:lineRule="auto"/>
    </w:pPr>
    <w:tblPr>
      <w:tblStyleRowBandSize w:val="1"/>
      <w:tblStyleColBandSize w:val="1"/>
      <w:tblInd w:w="0" w:type="dxa"/>
      <w:tblBorders>
        <w:top w:val="single" w:sz="8" w:space="0" w:color="FFF5DD" w:themeColor="accent6" w:themeTint="BF"/>
        <w:left w:val="single" w:sz="8" w:space="0" w:color="FFF5DD" w:themeColor="accent6" w:themeTint="BF"/>
        <w:bottom w:val="single" w:sz="8" w:space="0" w:color="FFF5DD" w:themeColor="accent6" w:themeTint="BF"/>
        <w:right w:val="single" w:sz="8" w:space="0" w:color="FFF5DD" w:themeColor="accent6" w:themeTint="BF"/>
        <w:insideH w:val="single" w:sz="8" w:space="0" w:color="FFF5DD"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FF5DD" w:themeColor="accent6" w:themeTint="BF"/>
          <w:left w:val="single" w:sz="8" w:space="0" w:color="FFF5DD" w:themeColor="accent6" w:themeTint="BF"/>
          <w:bottom w:val="single" w:sz="8" w:space="0" w:color="FFF5DD" w:themeColor="accent6" w:themeTint="BF"/>
          <w:right w:val="single" w:sz="8" w:space="0" w:color="FFF5DD" w:themeColor="accent6" w:themeTint="BF"/>
          <w:insideH w:val="nil"/>
          <w:insideV w:val="nil"/>
        </w:tcBorders>
        <w:shd w:val="clear" w:color="auto" w:fill="FFF3D2" w:themeFill="accent6"/>
      </w:tcPr>
    </w:tblStylePr>
    <w:tblStylePr w:type="lastRow">
      <w:pPr>
        <w:spacing w:before="0" w:after="0" w:line="240" w:lineRule="auto"/>
      </w:pPr>
      <w:rPr>
        <w:b/>
        <w:bCs/>
      </w:rPr>
      <w:tblPr/>
      <w:tcPr>
        <w:tcBorders>
          <w:top w:val="double" w:sz="6" w:space="0" w:color="FFF5DD" w:themeColor="accent6" w:themeTint="BF"/>
          <w:left w:val="single" w:sz="8" w:space="0" w:color="FFF5DD" w:themeColor="accent6" w:themeTint="BF"/>
          <w:bottom w:val="single" w:sz="8" w:space="0" w:color="FFF5DD" w:themeColor="accent6" w:themeTint="BF"/>
          <w:right w:val="single" w:sz="8" w:space="0" w:color="FFF5DD" w:themeColor="accent6" w:themeTint="BF"/>
          <w:insideH w:val="nil"/>
          <w:insideV w:val="nil"/>
        </w:tcBorders>
      </w:tcPr>
    </w:tblStylePr>
    <w:tblStylePr w:type="firstCol">
      <w:rPr>
        <w:b/>
        <w:bCs/>
      </w:rPr>
    </w:tblStylePr>
    <w:tblStylePr w:type="lastCol">
      <w:rPr>
        <w:b/>
        <w:bCs/>
      </w:rPr>
    </w:tblStylePr>
    <w:tblStylePr w:type="band1Vert">
      <w:tblPr/>
      <w:tcPr>
        <w:shd w:val="clear" w:color="auto" w:fill="FFFBF3" w:themeFill="accent6" w:themeFillTint="3F"/>
      </w:tcPr>
    </w:tblStylePr>
    <w:tblStylePr w:type="band1Horz">
      <w:tblPr/>
      <w:tcPr>
        <w:tcBorders>
          <w:insideH w:val="nil"/>
          <w:insideV w:val="nil"/>
        </w:tcBorders>
        <w:shd w:val="clear" w:color="auto" w:fill="FFFBF3" w:themeFill="accent6" w:themeFillTint="3F"/>
      </w:tcPr>
    </w:tblStylePr>
    <w:tblStylePr w:type="band2Horz">
      <w:tblPr/>
      <w:tcPr>
        <w:tcBorders>
          <w:insideH w:val="nil"/>
          <w:insideV w:val="nil"/>
        </w:tcBorders>
      </w:tcPr>
    </w:tblStylePr>
  </w:style>
  <w:style w:type="table" w:customStyle="1" w:styleId="MediumShading21">
    <w:name w:val="Medium Shading 21"/>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51BA"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51BA" w:themeFill="accent1"/>
      </w:tcPr>
    </w:tblStylePr>
    <w:tblStylePr w:type="lastCol">
      <w:rPr>
        <w:b/>
        <w:bCs/>
        <w:color w:val="FFFFFF" w:themeColor="background1"/>
      </w:rPr>
      <w:tblPr/>
      <w:tcPr>
        <w:tcBorders>
          <w:left w:val="nil"/>
          <w:right w:val="nil"/>
          <w:insideH w:val="nil"/>
          <w:insideV w:val="nil"/>
        </w:tcBorders>
        <w:shd w:val="clear" w:color="auto" w:fill="0051BA"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61E"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61E" w:themeFill="accent2"/>
      </w:tcPr>
    </w:tblStylePr>
    <w:tblStylePr w:type="lastCol">
      <w:rPr>
        <w:b/>
        <w:bCs/>
        <w:color w:val="FFFFFF" w:themeColor="background1"/>
      </w:rPr>
      <w:tblPr/>
      <w:tcPr>
        <w:tcBorders>
          <w:left w:val="nil"/>
          <w:right w:val="nil"/>
          <w:insideH w:val="nil"/>
          <w:insideV w:val="nil"/>
        </w:tcBorders>
        <w:shd w:val="clear" w:color="auto" w:fill="FFC61E"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C91F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C91FF" w:themeFill="accent3"/>
      </w:tcPr>
    </w:tblStylePr>
    <w:tblStylePr w:type="lastCol">
      <w:rPr>
        <w:b/>
        <w:bCs/>
        <w:color w:val="FFFFFF" w:themeColor="background1"/>
      </w:rPr>
      <w:tblPr/>
      <w:tcPr>
        <w:tcBorders>
          <w:left w:val="nil"/>
          <w:right w:val="nil"/>
          <w:insideH w:val="nil"/>
          <w:insideV w:val="nil"/>
        </w:tcBorders>
        <w:shd w:val="clear" w:color="auto" w:fill="3C91F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DC77"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DC77" w:themeFill="accent4"/>
      </w:tcPr>
    </w:tblStylePr>
    <w:tblStylePr w:type="lastCol">
      <w:rPr>
        <w:b/>
        <w:bCs/>
        <w:color w:val="FFFFFF" w:themeColor="background1"/>
      </w:rPr>
      <w:tblPr/>
      <w:tcPr>
        <w:tcBorders>
          <w:left w:val="nil"/>
          <w:right w:val="nil"/>
          <w:insideH w:val="nil"/>
          <w:insideV w:val="nil"/>
        </w:tcBorders>
        <w:shd w:val="clear" w:color="auto" w:fill="FFDC77"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EDAFF"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EDAFF" w:themeFill="accent5"/>
      </w:tcPr>
    </w:tblStylePr>
    <w:tblStylePr w:type="lastCol">
      <w:rPr>
        <w:b/>
        <w:bCs/>
        <w:color w:val="FFFFFF" w:themeColor="background1"/>
      </w:rPr>
      <w:tblPr/>
      <w:tcPr>
        <w:tcBorders>
          <w:left w:val="nil"/>
          <w:right w:val="nil"/>
          <w:insideH w:val="nil"/>
          <w:insideV w:val="nil"/>
        </w:tcBorders>
        <w:shd w:val="clear" w:color="auto" w:fill="BEDAFF"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F8075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F3D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F3D2" w:themeFill="accent6"/>
      </w:tcPr>
    </w:tblStylePr>
    <w:tblStylePr w:type="lastCol">
      <w:rPr>
        <w:b/>
        <w:bCs/>
        <w:color w:val="FFFFFF" w:themeColor="background1"/>
      </w:rPr>
      <w:tblPr/>
      <w:tcPr>
        <w:tcBorders>
          <w:left w:val="nil"/>
          <w:right w:val="nil"/>
          <w:insideH w:val="nil"/>
          <w:insideV w:val="nil"/>
        </w:tcBorders>
        <w:shd w:val="clear" w:color="auto" w:fill="FFF3D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locked/>
    <w:rsid w:val="00F8075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F80750"/>
    <w:rPr>
      <w:rFonts w:asciiTheme="majorHAnsi" w:eastAsiaTheme="majorEastAsia" w:hAnsiTheme="majorHAnsi" w:cstheme="majorBidi"/>
      <w:noProof w:val="0"/>
      <w:sz w:val="24"/>
      <w:szCs w:val="24"/>
      <w:shd w:val="pct20" w:color="auto" w:fill="auto"/>
      <w:lang w:val="en-AU"/>
    </w:rPr>
  </w:style>
  <w:style w:type="paragraph" w:styleId="NoSpacing">
    <w:name w:val="No Spacing"/>
    <w:uiPriority w:val="1"/>
    <w:semiHidden/>
    <w:unhideWhenUsed/>
    <w:qFormat/>
    <w:locked/>
    <w:rsid w:val="00F80750"/>
    <w:pPr>
      <w:spacing w:after="0" w:line="240" w:lineRule="auto"/>
    </w:pPr>
  </w:style>
  <w:style w:type="paragraph" w:styleId="NormalWeb">
    <w:name w:val="Normal (Web)"/>
    <w:basedOn w:val="Normal"/>
    <w:uiPriority w:val="99"/>
    <w:semiHidden/>
    <w:unhideWhenUsed/>
    <w:locked/>
    <w:rsid w:val="00F80750"/>
    <w:rPr>
      <w:rFonts w:ascii="Times New Roman" w:hAnsi="Times New Roman" w:cs="Times New Roman"/>
    </w:rPr>
  </w:style>
  <w:style w:type="paragraph" w:styleId="NormalIndent">
    <w:name w:val="Normal Indent"/>
    <w:basedOn w:val="Normal"/>
    <w:uiPriority w:val="99"/>
    <w:semiHidden/>
    <w:unhideWhenUsed/>
    <w:locked/>
    <w:rsid w:val="00F80750"/>
    <w:pPr>
      <w:ind w:left="720"/>
    </w:pPr>
  </w:style>
  <w:style w:type="paragraph" w:styleId="NoteHeading">
    <w:name w:val="Note Heading"/>
    <w:basedOn w:val="Normal"/>
    <w:next w:val="Normal"/>
    <w:link w:val="NoteHeadingChar"/>
    <w:uiPriority w:val="99"/>
    <w:semiHidden/>
    <w:unhideWhenUsed/>
    <w:locked/>
    <w:rsid w:val="00F80750"/>
    <w:pPr>
      <w:spacing w:after="0" w:line="240" w:lineRule="auto"/>
    </w:pPr>
  </w:style>
  <w:style w:type="character" w:customStyle="1" w:styleId="NoteHeadingChar">
    <w:name w:val="Note Heading Char"/>
    <w:basedOn w:val="DefaultParagraphFont"/>
    <w:link w:val="NoteHeading"/>
    <w:uiPriority w:val="99"/>
    <w:semiHidden/>
    <w:rsid w:val="00F80750"/>
    <w:rPr>
      <w:noProof w:val="0"/>
      <w:lang w:val="en-AU"/>
    </w:rPr>
  </w:style>
  <w:style w:type="character" w:styleId="PageNumber">
    <w:name w:val="page number"/>
    <w:basedOn w:val="DefaultParagraphFont"/>
    <w:uiPriority w:val="99"/>
    <w:semiHidden/>
    <w:unhideWhenUsed/>
    <w:locked/>
    <w:rsid w:val="00F80750"/>
    <w:rPr>
      <w:noProof w:val="0"/>
      <w:lang w:val="en-AU"/>
    </w:rPr>
  </w:style>
  <w:style w:type="paragraph" w:styleId="PlainText">
    <w:name w:val="Plain Text"/>
    <w:basedOn w:val="Normal"/>
    <w:link w:val="PlainTextChar"/>
    <w:uiPriority w:val="99"/>
    <w:semiHidden/>
    <w:unhideWhenUsed/>
    <w:locked/>
    <w:rsid w:val="00F80750"/>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80750"/>
    <w:rPr>
      <w:rFonts w:ascii="Consolas" w:hAnsi="Consolas"/>
      <w:noProof w:val="0"/>
      <w:sz w:val="21"/>
      <w:szCs w:val="21"/>
      <w:lang w:val="en-AU"/>
    </w:rPr>
  </w:style>
  <w:style w:type="paragraph" w:styleId="Quote">
    <w:name w:val="Quote"/>
    <w:basedOn w:val="Normal"/>
    <w:next w:val="Normal"/>
    <w:link w:val="QuoteChar"/>
    <w:uiPriority w:val="29"/>
    <w:semiHidden/>
    <w:qFormat/>
    <w:locked/>
    <w:rsid w:val="00F80750"/>
    <w:rPr>
      <w:i/>
      <w:iCs/>
      <w:color w:val="000000" w:themeColor="text1"/>
    </w:rPr>
  </w:style>
  <w:style w:type="character" w:customStyle="1" w:styleId="QuoteChar">
    <w:name w:val="Quote Char"/>
    <w:basedOn w:val="DefaultParagraphFont"/>
    <w:link w:val="Quote"/>
    <w:uiPriority w:val="29"/>
    <w:semiHidden/>
    <w:rsid w:val="00F80750"/>
    <w:rPr>
      <w:i/>
      <w:iCs/>
      <w:noProof w:val="0"/>
      <w:color w:val="000000" w:themeColor="text1"/>
      <w:lang w:val="en-AU"/>
    </w:rPr>
  </w:style>
  <w:style w:type="paragraph" w:styleId="Salutation">
    <w:name w:val="Salutation"/>
    <w:basedOn w:val="Normal"/>
    <w:next w:val="Normal"/>
    <w:link w:val="SalutationChar"/>
    <w:uiPriority w:val="99"/>
    <w:semiHidden/>
    <w:unhideWhenUsed/>
    <w:locked/>
    <w:rsid w:val="00F80750"/>
  </w:style>
  <w:style w:type="character" w:customStyle="1" w:styleId="SalutationChar">
    <w:name w:val="Salutation Char"/>
    <w:basedOn w:val="DefaultParagraphFont"/>
    <w:link w:val="Salutation"/>
    <w:uiPriority w:val="99"/>
    <w:semiHidden/>
    <w:rsid w:val="00F80750"/>
    <w:rPr>
      <w:noProof w:val="0"/>
      <w:lang w:val="en-AU"/>
    </w:rPr>
  </w:style>
  <w:style w:type="paragraph" w:styleId="Signature">
    <w:name w:val="Signature"/>
    <w:basedOn w:val="Normal"/>
    <w:link w:val="SignatureChar"/>
    <w:uiPriority w:val="99"/>
    <w:semiHidden/>
    <w:unhideWhenUsed/>
    <w:locked/>
    <w:rsid w:val="00F80750"/>
    <w:pPr>
      <w:spacing w:after="0" w:line="240" w:lineRule="auto"/>
      <w:ind w:left="4252"/>
    </w:pPr>
  </w:style>
  <w:style w:type="character" w:customStyle="1" w:styleId="SignatureChar">
    <w:name w:val="Signature Char"/>
    <w:basedOn w:val="DefaultParagraphFont"/>
    <w:link w:val="Signature"/>
    <w:uiPriority w:val="99"/>
    <w:semiHidden/>
    <w:rsid w:val="00F80750"/>
    <w:rPr>
      <w:noProof w:val="0"/>
      <w:lang w:val="en-AU"/>
    </w:rPr>
  </w:style>
  <w:style w:type="character" w:styleId="Strong">
    <w:name w:val="Strong"/>
    <w:basedOn w:val="DefaultParagraphFont"/>
    <w:uiPriority w:val="22"/>
    <w:semiHidden/>
    <w:qFormat/>
    <w:locked/>
    <w:rsid w:val="00F80750"/>
    <w:rPr>
      <w:b/>
      <w:bCs/>
      <w:noProof w:val="0"/>
      <w:lang w:val="en-AU"/>
    </w:rPr>
  </w:style>
  <w:style w:type="paragraph" w:styleId="Subtitle">
    <w:name w:val="Subtitle"/>
    <w:basedOn w:val="Normal"/>
    <w:next w:val="Normal"/>
    <w:link w:val="SubtitleChar"/>
    <w:uiPriority w:val="11"/>
    <w:semiHidden/>
    <w:unhideWhenUsed/>
    <w:qFormat/>
    <w:locked/>
    <w:rsid w:val="00F80750"/>
    <w:pPr>
      <w:numPr>
        <w:ilvl w:val="1"/>
      </w:numPr>
    </w:pPr>
    <w:rPr>
      <w:rFonts w:asciiTheme="majorHAnsi" w:eastAsiaTheme="majorEastAsia" w:hAnsiTheme="majorHAnsi" w:cstheme="majorBidi"/>
      <w:i/>
      <w:iCs/>
      <w:color w:val="0051BA" w:themeColor="accent1"/>
      <w:spacing w:val="15"/>
    </w:rPr>
  </w:style>
  <w:style w:type="character" w:customStyle="1" w:styleId="SubtitleChar">
    <w:name w:val="Subtitle Char"/>
    <w:basedOn w:val="DefaultParagraphFont"/>
    <w:link w:val="Subtitle"/>
    <w:uiPriority w:val="11"/>
    <w:semiHidden/>
    <w:rsid w:val="00F80750"/>
    <w:rPr>
      <w:rFonts w:asciiTheme="majorHAnsi" w:eastAsiaTheme="majorEastAsia" w:hAnsiTheme="majorHAnsi" w:cstheme="majorBidi"/>
      <w:i/>
      <w:iCs/>
      <w:noProof w:val="0"/>
      <w:color w:val="0051BA" w:themeColor="accent1"/>
      <w:spacing w:val="15"/>
      <w:sz w:val="24"/>
      <w:szCs w:val="24"/>
      <w:lang w:val="en-AU"/>
    </w:rPr>
  </w:style>
  <w:style w:type="character" w:styleId="SubtleEmphasis">
    <w:name w:val="Subtle Emphasis"/>
    <w:basedOn w:val="DefaultParagraphFont"/>
    <w:uiPriority w:val="19"/>
    <w:semiHidden/>
    <w:qFormat/>
    <w:locked/>
    <w:rsid w:val="00F80750"/>
    <w:rPr>
      <w:i/>
      <w:iCs/>
      <w:noProof w:val="0"/>
      <w:color w:val="808080" w:themeColor="text1" w:themeTint="7F"/>
      <w:lang w:val="en-AU"/>
    </w:rPr>
  </w:style>
  <w:style w:type="character" w:styleId="SubtleReference">
    <w:name w:val="Subtle Reference"/>
    <w:basedOn w:val="DefaultParagraphFont"/>
    <w:uiPriority w:val="31"/>
    <w:semiHidden/>
    <w:qFormat/>
    <w:locked/>
    <w:rsid w:val="00F80750"/>
    <w:rPr>
      <w:smallCaps/>
      <w:noProof w:val="0"/>
      <w:color w:val="FFC61E" w:themeColor="accent2"/>
      <w:u w:val="single"/>
      <w:lang w:val="en-AU"/>
    </w:rPr>
  </w:style>
  <w:style w:type="table" w:styleId="Table3Deffects1">
    <w:name w:val="Table 3D effects 1"/>
    <w:basedOn w:val="TableNormal"/>
    <w:uiPriority w:val="99"/>
    <w:semiHidden/>
    <w:unhideWhenUsed/>
    <w:locked/>
    <w:rsid w:val="00F8075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F80750"/>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F8075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F8075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F8075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F8075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F8075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F8075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F8075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F8075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F8075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F8075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F8075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F8075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F8075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F8075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F8075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F8075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F80750"/>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F80750"/>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F8075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F8075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F8075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F80750"/>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F8075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8075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8075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F8075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F8075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F80750"/>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F80750"/>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F8075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F8075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locked/>
    <w:rsid w:val="00F80750"/>
    <w:pPr>
      <w:spacing w:after="0"/>
      <w:ind w:left="190" w:hanging="190"/>
    </w:pPr>
  </w:style>
  <w:style w:type="paragraph" w:styleId="TableofFigures">
    <w:name w:val="table of figures"/>
    <w:basedOn w:val="Normal"/>
    <w:next w:val="Normal"/>
    <w:autoRedefine/>
    <w:uiPriority w:val="99"/>
    <w:unhideWhenUsed/>
    <w:rsid w:val="0055094B"/>
    <w:pPr>
      <w:tabs>
        <w:tab w:val="right" w:leader="dot" w:pos="8503"/>
      </w:tabs>
      <w:spacing w:before="120" w:after="0" w:line="240" w:lineRule="auto"/>
    </w:pPr>
  </w:style>
  <w:style w:type="table" w:styleId="TableProfessional">
    <w:name w:val="Table Professional"/>
    <w:basedOn w:val="TableNormal"/>
    <w:uiPriority w:val="99"/>
    <w:semiHidden/>
    <w:unhideWhenUsed/>
    <w:locked/>
    <w:rsid w:val="00F8075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F80750"/>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F8075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F8075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F80750"/>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F80750"/>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F8075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uiPriority w:val="99"/>
    <w:semiHidden/>
    <w:unhideWhenUsed/>
    <w:locked/>
    <w:rsid w:val="00F8075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F8075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F8075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locked/>
    <w:rsid w:val="00F80750"/>
    <w:pPr>
      <w:spacing w:before="120"/>
    </w:pPr>
    <w:rPr>
      <w:rFonts w:asciiTheme="majorHAnsi" w:eastAsiaTheme="majorEastAsia" w:hAnsiTheme="majorHAnsi" w:cstheme="majorBidi"/>
      <w:b/>
      <w:bCs/>
    </w:rPr>
  </w:style>
  <w:style w:type="paragraph" w:styleId="TOC2">
    <w:name w:val="toc 2"/>
    <w:basedOn w:val="Normal"/>
    <w:next w:val="Normal"/>
    <w:autoRedefine/>
    <w:uiPriority w:val="39"/>
    <w:rsid w:val="00E41B63"/>
    <w:pPr>
      <w:tabs>
        <w:tab w:val="left" w:pos="1134"/>
        <w:tab w:val="right" w:pos="8647"/>
      </w:tabs>
      <w:spacing w:before="57" w:after="57"/>
      <w:ind w:left="567"/>
      <w:contextualSpacing/>
    </w:pPr>
  </w:style>
  <w:style w:type="paragraph" w:styleId="TOC3">
    <w:name w:val="toc 3"/>
    <w:basedOn w:val="Normal"/>
    <w:next w:val="Normal"/>
    <w:autoRedefine/>
    <w:uiPriority w:val="39"/>
    <w:rsid w:val="001343E9"/>
    <w:pPr>
      <w:tabs>
        <w:tab w:val="left" w:pos="709"/>
        <w:tab w:val="right" w:leader="dot" w:pos="8647"/>
      </w:tabs>
      <w:spacing w:before="20" w:after="20"/>
      <w:contextualSpacing/>
    </w:pPr>
  </w:style>
  <w:style w:type="paragraph" w:customStyle="1" w:styleId="AppendixHeading">
    <w:name w:val="Appendix Heading"/>
    <w:basedOn w:val="Heading1"/>
    <w:next w:val="Normal"/>
    <w:uiPriority w:val="11"/>
    <w:qFormat/>
    <w:rsid w:val="00562D0C"/>
    <w:pPr>
      <w:numPr>
        <w:ilvl w:val="5"/>
      </w:numPr>
    </w:pPr>
  </w:style>
  <w:style w:type="paragraph" w:customStyle="1" w:styleId="Notes">
    <w:name w:val="Notes"/>
    <w:basedOn w:val="Normal"/>
    <w:semiHidden/>
    <w:qFormat/>
    <w:rsid w:val="00503A51"/>
    <w:pPr>
      <w:spacing w:after="240"/>
      <w:jc w:val="both"/>
    </w:pPr>
    <w:rPr>
      <w:sz w:val="20"/>
    </w:rPr>
  </w:style>
  <w:style w:type="numbering" w:customStyle="1" w:styleId="GeneralList">
    <w:name w:val="General List"/>
    <w:uiPriority w:val="99"/>
    <w:rsid w:val="00503A51"/>
    <w:pPr>
      <w:numPr>
        <w:numId w:val="11"/>
      </w:numPr>
    </w:pPr>
  </w:style>
  <w:style w:type="numbering" w:customStyle="1" w:styleId="CustomHeadingList">
    <w:name w:val="Custom Heading List"/>
    <w:uiPriority w:val="99"/>
    <w:rsid w:val="003A3021"/>
    <w:pPr>
      <w:numPr>
        <w:numId w:val="13"/>
      </w:numPr>
    </w:pPr>
  </w:style>
  <w:style w:type="paragraph" w:customStyle="1" w:styleId="DraftingNote">
    <w:name w:val="Drafting Note"/>
    <w:basedOn w:val="Normal"/>
    <w:uiPriority w:val="12"/>
    <w:qFormat/>
    <w:rsid w:val="00DA7023"/>
    <w:pPr>
      <w:pBdr>
        <w:top w:val="single" w:sz="4" w:space="3" w:color="0051BA" w:themeColor="accent1"/>
        <w:left w:val="single" w:sz="4" w:space="4" w:color="0051BA" w:themeColor="accent1"/>
        <w:bottom w:val="single" w:sz="4" w:space="3" w:color="0051BA" w:themeColor="accent1"/>
        <w:right w:val="single" w:sz="4" w:space="4" w:color="0051BA" w:themeColor="accent1"/>
      </w:pBdr>
      <w:shd w:val="clear" w:color="auto" w:fill="FFE8A5" w:themeFill="accent2" w:themeFillTint="66"/>
      <w:spacing w:before="120" w:after="120" w:line="240" w:lineRule="auto"/>
      <w:ind w:left="108" w:right="108"/>
    </w:pPr>
    <w:rPr>
      <w:b/>
      <w:i/>
      <w:sz w:val="20"/>
    </w:rPr>
  </w:style>
  <w:style w:type="paragraph" w:customStyle="1" w:styleId="TableBullet2ListBullet4">
    <w:name w:val="Table Bullet 2  (List Bullet 4)"/>
    <w:basedOn w:val="Normal"/>
    <w:uiPriority w:val="16"/>
    <w:qFormat/>
    <w:rsid w:val="002931A6"/>
    <w:pPr>
      <w:numPr>
        <w:ilvl w:val="3"/>
        <w:numId w:val="12"/>
      </w:numPr>
      <w:spacing w:before="40" w:after="40" w:line="240" w:lineRule="auto"/>
      <w:ind w:left="851" w:hanging="284"/>
    </w:pPr>
    <w:rPr>
      <w:sz w:val="21"/>
    </w:rPr>
  </w:style>
  <w:style w:type="table" w:customStyle="1" w:styleId="ShadedGrid">
    <w:name w:val="Shaded Grid"/>
    <w:basedOn w:val="TableGrid"/>
    <w:uiPriority w:val="99"/>
    <w:rsid w:val="00832F86"/>
    <w:tblPr>
      <w:tblStyleRowBandSize w:val="1"/>
      <w:tblStyleColBandSize w:val="1"/>
      <w:tblInd w:w="0" w:type="dxa"/>
      <w:tblBorders>
        <w:top w:val="single" w:sz="4" w:space="0" w:color="0051BA" w:themeColor="accent1"/>
        <w:left w:val="single" w:sz="4" w:space="0" w:color="0051BA" w:themeColor="accent1"/>
        <w:bottom w:val="single" w:sz="4" w:space="0" w:color="0051BA" w:themeColor="accent1"/>
        <w:right w:val="single" w:sz="4" w:space="0" w:color="0051BA" w:themeColor="accent1"/>
        <w:insideH w:val="single" w:sz="4" w:space="0" w:color="0051BA" w:themeColor="accent1"/>
        <w:insideV w:val="single" w:sz="4" w:space="0" w:color="0051BA" w:themeColor="accent1"/>
      </w:tblBorders>
      <w:tblCellMar>
        <w:top w:w="0" w:type="dxa"/>
        <w:left w:w="0" w:type="dxa"/>
        <w:bottom w:w="0" w:type="dxa"/>
        <w:right w:w="0" w:type="dxa"/>
      </w:tblCellMar>
    </w:tblPr>
    <w:tblStylePr w:type="firstRow">
      <w:pPr>
        <w:wordWrap/>
        <w:spacing w:beforeLines="40" w:beforeAutospacing="0" w:afterLines="40" w:afterAutospacing="0" w:line="240" w:lineRule="auto"/>
      </w:pPr>
      <w:rPr>
        <w:rFonts w:asciiTheme="minorHAnsi" w:hAnsiTheme="minorHAnsi"/>
        <w:b/>
        <w:color w:val="FFFFFF" w:themeColor="background1"/>
        <w:sz w:val="2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51BA" w:themeFill="accent1"/>
      </w:tcPr>
    </w:tblStylePr>
    <w:tblStylePr w:type="lastRow">
      <w:rPr>
        <w:b/>
        <w:color w:val="000000" w:themeColor="text1"/>
      </w:rPr>
      <w:tblPr/>
      <w:tcPr>
        <w:shd w:val="clear" w:color="auto" w:fill="92C0FF" w:themeFill="accent5" w:themeFillShade="E6"/>
      </w:tcPr>
    </w:tblStylePr>
    <w:tblStylePr w:type="firstCol">
      <w:rPr>
        <w:color w:val="FFFFFF" w:themeColor="background1"/>
        <w:sz w:val="21"/>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0051BA" w:themeFill="accent1"/>
      </w:tcPr>
    </w:tblStylePr>
    <w:tblStylePr w:type="lastCol">
      <w:pPr>
        <w:jc w:val="right"/>
      </w:pPr>
    </w:tblStylePr>
    <w:tblStylePr w:type="band1Vert">
      <w:tblPr/>
      <w:tcPr>
        <w:shd w:val="clear" w:color="auto" w:fill="BEDAFF" w:themeFill="accent1" w:themeFillTint="33"/>
      </w:tcPr>
    </w:tblStylePr>
    <w:tblStylePr w:type="band2Vert">
      <w:tblPr/>
      <w:tcPr>
        <w:shd w:val="clear" w:color="auto" w:fill="FFFFFF" w:themeFill="background1"/>
      </w:tcPr>
    </w:tblStylePr>
    <w:tblStylePr w:type="band1Horz">
      <w:tblPr/>
      <w:tcPr>
        <w:shd w:val="clear" w:color="auto" w:fill="D8E8FF" w:themeFill="accent3" w:themeFillTint="33"/>
      </w:tcPr>
    </w:tblStylePr>
    <w:tblStylePr w:type="band2Horz">
      <w:tblPr/>
      <w:tcPr>
        <w:shd w:val="clear" w:color="auto" w:fill="FFFFFF" w:themeFill="background1"/>
      </w:tcPr>
    </w:tblStylePr>
  </w:style>
  <w:style w:type="numbering" w:customStyle="1" w:styleId="TableLists">
    <w:name w:val="Table Lists"/>
    <w:uiPriority w:val="99"/>
    <w:rsid w:val="00937AF9"/>
    <w:pPr>
      <w:numPr>
        <w:numId w:val="14"/>
      </w:numPr>
    </w:pPr>
  </w:style>
  <w:style w:type="paragraph" w:customStyle="1" w:styleId="TableNumListListNumber3">
    <w:name w:val="Table Num List  (List Number 3)"/>
    <w:basedOn w:val="Normal"/>
    <w:uiPriority w:val="17"/>
    <w:qFormat/>
    <w:rsid w:val="009D4581"/>
    <w:pPr>
      <w:numPr>
        <w:ilvl w:val="1"/>
        <w:numId w:val="15"/>
      </w:numPr>
      <w:spacing w:before="60" w:after="40" w:line="240" w:lineRule="auto"/>
    </w:pPr>
  </w:style>
  <w:style w:type="paragraph" w:customStyle="1" w:styleId="TableAlphaListListNumber4">
    <w:name w:val="Table Alpha List  (List Number 4)"/>
    <w:basedOn w:val="Normal"/>
    <w:uiPriority w:val="18"/>
    <w:qFormat/>
    <w:rsid w:val="009D4581"/>
    <w:pPr>
      <w:numPr>
        <w:ilvl w:val="2"/>
        <w:numId w:val="15"/>
      </w:numPr>
      <w:spacing w:before="40" w:after="40" w:line="240" w:lineRule="auto"/>
    </w:pPr>
    <w:rPr>
      <w:sz w:val="21"/>
    </w:rPr>
  </w:style>
  <w:style w:type="paragraph" w:customStyle="1" w:styleId="CoverTitle">
    <w:name w:val="Cover Title"/>
    <w:basedOn w:val="Normal"/>
    <w:uiPriority w:val="99"/>
    <w:rsid w:val="008317DE"/>
    <w:pPr>
      <w:spacing w:before="0" w:after="860" w:line="240" w:lineRule="auto"/>
    </w:pPr>
    <w:rPr>
      <w:rFonts w:eastAsiaTheme="majorEastAsia" w:cstheme="majorBidi"/>
      <w:b/>
      <w:color w:val="0051BA" w:themeColor="accent1"/>
      <w:sz w:val="56"/>
      <w:szCs w:val="52"/>
    </w:rPr>
  </w:style>
  <w:style w:type="paragraph" w:styleId="Revision">
    <w:name w:val="Revision"/>
    <w:hidden/>
    <w:uiPriority w:val="99"/>
    <w:semiHidden/>
    <w:rsid w:val="00EC514B"/>
    <w:pPr>
      <w:spacing w:before="0" w:after="0" w:line="240" w:lineRule="auto"/>
    </w:pPr>
  </w:style>
  <w:style w:type="paragraph" w:styleId="ListBullet3">
    <w:name w:val="List Bullet 3"/>
    <w:basedOn w:val="Normal"/>
    <w:uiPriority w:val="99"/>
    <w:semiHidden/>
    <w:qFormat/>
    <w:locked/>
    <w:rsid w:val="005D421E"/>
    <w:pPr>
      <w:numPr>
        <w:numId w:val="6"/>
      </w:numPr>
      <w:contextualSpacing/>
    </w:pPr>
  </w:style>
  <w:style w:type="paragraph" w:styleId="ListBullet4">
    <w:name w:val="List Bullet 4"/>
    <w:basedOn w:val="Normal"/>
    <w:uiPriority w:val="99"/>
    <w:semiHidden/>
    <w:qFormat/>
    <w:locked/>
    <w:rsid w:val="005D421E"/>
    <w:pPr>
      <w:numPr>
        <w:numId w:val="7"/>
      </w:numPr>
      <w:contextualSpacing/>
    </w:pPr>
  </w:style>
  <w:style w:type="paragraph" w:customStyle="1" w:styleId="NotTOCHeading">
    <w:name w:val="Not TOC Heading"/>
    <w:basedOn w:val="Heading1"/>
    <w:qFormat/>
    <w:rsid w:val="008317DE"/>
    <w:pPr>
      <w:numPr>
        <w:ilvl w:val="0"/>
        <w:numId w:val="0"/>
      </w:numPr>
      <w:spacing w:before="0" w:after="360"/>
    </w:pPr>
  </w:style>
  <w:style w:type="character" w:styleId="PlaceholderText">
    <w:name w:val="Placeholder Text"/>
    <w:basedOn w:val="DefaultParagraphFont"/>
    <w:uiPriority w:val="99"/>
    <w:unhideWhenUsed/>
    <w:locked/>
    <w:rsid w:val="00717998"/>
    <w:rPr>
      <w:color w:val="808080"/>
    </w:rPr>
  </w:style>
  <w:style w:type="paragraph" w:customStyle="1" w:styleId="Level1">
    <w:name w:val="Level 1"/>
    <w:link w:val="Level1Char"/>
    <w:autoRedefine/>
    <w:qFormat/>
    <w:rsid w:val="0005059F"/>
    <w:pPr>
      <w:keepNext/>
      <w:numPr>
        <w:numId w:val="19"/>
      </w:numPr>
      <w:pBdr>
        <w:top w:val="single" w:sz="12" w:space="6" w:color="0C4681"/>
      </w:pBdr>
      <w:spacing w:before="360" w:after="120" w:line="240" w:lineRule="auto"/>
    </w:pPr>
    <w:rPr>
      <w:rFonts w:eastAsia="Times" w:cs="Times New Roman"/>
      <w:b/>
      <w:color w:val="0C4681"/>
      <w:sz w:val="28"/>
      <w:szCs w:val="20"/>
    </w:rPr>
  </w:style>
  <w:style w:type="paragraph" w:customStyle="1" w:styleId="Level2">
    <w:name w:val="Level 2"/>
    <w:autoRedefine/>
    <w:qFormat/>
    <w:rsid w:val="0005059F"/>
    <w:pPr>
      <w:keepNext/>
      <w:numPr>
        <w:ilvl w:val="1"/>
        <w:numId w:val="19"/>
      </w:numPr>
      <w:spacing w:before="240" w:after="120" w:line="240" w:lineRule="auto"/>
    </w:pPr>
    <w:rPr>
      <w:rFonts w:eastAsia="Times" w:cs="Times New Roman"/>
      <w:b/>
      <w:color w:val="0C4681"/>
      <w:sz w:val="24"/>
      <w:szCs w:val="20"/>
    </w:rPr>
  </w:style>
  <w:style w:type="paragraph" w:customStyle="1" w:styleId="Level3">
    <w:name w:val="Level 3"/>
    <w:rsid w:val="0005059F"/>
    <w:pPr>
      <w:numPr>
        <w:ilvl w:val="2"/>
        <w:numId w:val="19"/>
      </w:numPr>
      <w:spacing w:before="120" w:after="120" w:line="240" w:lineRule="auto"/>
    </w:pPr>
    <w:rPr>
      <w:rFonts w:eastAsia="Times" w:cs="Times New Roman"/>
      <w:szCs w:val="20"/>
    </w:rPr>
  </w:style>
  <w:style w:type="paragraph" w:customStyle="1" w:styleId="Level4">
    <w:name w:val="Level 4"/>
    <w:rsid w:val="0005059F"/>
    <w:pPr>
      <w:numPr>
        <w:ilvl w:val="3"/>
        <w:numId w:val="19"/>
      </w:numPr>
      <w:spacing w:before="120" w:after="120" w:line="240" w:lineRule="auto"/>
    </w:pPr>
    <w:rPr>
      <w:rFonts w:eastAsia="Times" w:cs="Times New Roman"/>
      <w:szCs w:val="20"/>
    </w:rPr>
  </w:style>
  <w:style w:type="character" w:customStyle="1" w:styleId="Level1Char">
    <w:name w:val="Level 1 Char"/>
    <w:link w:val="Level1"/>
    <w:locked/>
    <w:rsid w:val="0005059F"/>
    <w:rPr>
      <w:rFonts w:eastAsia="Times" w:cs="Times New Roman"/>
      <w:b/>
      <w:color w:val="0C4681"/>
      <w:sz w:val="28"/>
      <w:szCs w:val="20"/>
    </w:rPr>
  </w:style>
  <w:style w:type="paragraph" w:customStyle="1" w:styleId="Level5">
    <w:name w:val="Level 5"/>
    <w:qFormat/>
    <w:rsid w:val="0005059F"/>
    <w:pPr>
      <w:numPr>
        <w:ilvl w:val="4"/>
        <w:numId w:val="19"/>
      </w:numPr>
      <w:spacing w:before="0" w:after="200" w:line="240" w:lineRule="auto"/>
    </w:pPr>
    <w:rPr>
      <w:lang w:eastAsia="en-AU"/>
    </w:rPr>
  </w:style>
  <w:style w:type="paragraph" w:customStyle="1" w:styleId="L1indent">
    <w:name w:val="L1 indent"/>
    <w:basedOn w:val="Normal"/>
    <w:qFormat/>
    <w:rsid w:val="0005059F"/>
    <w:pPr>
      <w:spacing w:before="80" w:after="80" w:line="264" w:lineRule="auto"/>
      <w:ind w:left="794"/>
    </w:pPr>
  </w:style>
  <w:style w:type="paragraph" w:customStyle="1" w:styleId="L2indent">
    <w:name w:val="L2 indent"/>
    <w:basedOn w:val="Normal"/>
    <w:qFormat/>
    <w:rsid w:val="0005059F"/>
    <w:pPr>
      <w:spacing w:before="80" w:after="80" w:line="264" w:lineRule="auto"/>
      <w:ind w:left="1588"/>
    </w:pPr>
    <w:rPr>
      <w:lang w:eastAsia="en-AU"/>
    </w:rPr>
  </w:style>
  <w:style w:type="paragraph" w:customStyle="1" w:styleId="TOCPart">
    <w:name w:val="TOC Part"/>
    <w:basedOn w:val="Normal"/>
    <w:qFormat/>
    <w:rsid w:val="00EB7F03"/>
    <w:pPr>
      <w:tabs>
        <w:tab w:val="left" w:pos="993"/>
      </w:tabs>
      <w:spacing w:before="80" w:after="0" w:line="240" w:lineRule="auto"/>
      <w:ind w:left="993" w:right="966"/>
    </w:pPr>
    <w:rPr>
      <w:b/>
      <w:color w:val="BFBFBF" w:themeColor="background1" w:themeShade="BF"/>
      <w:spacing w:val="20"/>
      <w:sz w:val="24"/>
    </w:rPr>
  </w:style>
  <w:style w:type="paragraph" w:customStyle="1" w:styleId="TOCVol">
    <w:name w:val="TOC Vol"/>
    <w:qFormat/>
    <w:rsid w:val="00EB7F03"/>
    <w:pPr>
      <w:spacing w:before="360" w:after="240" w:line="240" w:lineRule="auto"/>
      <w:ind w:left="993" w:right="966"/>
    </w:pPr>
    <w:rPr>
      <w:rFonts w:eastAsiaTheme="majorEastAsia" w:cstheme="majorBidi"/>
      <w:b/>
      <w:bCs/>
      <w:color w:val="BFBFBF" w:themeColor="background1" w:themeShade="BF"/>
      <w:spacing w:val="20"/>
      <w:sz w:val="32"/>
      <w:szCs w:val="28"/>
    </w:rPr>
  </w:style>
  <w:style w:type="paragraph" w:customStyle="1" w:styleId="TOCPartemphasise">
    <w:name w:val="TOC Part (emphasise)"/>
    <w:basedOn w:val="TOCPart"/>
    <w:qFormat/>
    <w:rsid w:val="00EB7F03"/>
    <w:rPr>
      <w:color w:val="FF9933"/>
    </w:rPr>
  </w:style>
  <w:style w:type="paragraph" w:customStyle="1" w:styleId="TOCVolemphasise">
    <w:name w:val="TOC Vol (emphasise)"/>
    <w:basedOn w:val="TOCVol"/>
    <w:qFormat/>
    <w:rsid w:val="00EB7F03"/>
    <w:pPr>
      <w:pBdr>
        <w:top w:val="single" w:sz="12" w:space="4" w:color="0051BA" w:themeColor="accent1"/>
        <w:bottom w:val="single" w:sz="12" w:space="4" w:color="0051BA" w:themeColor="accent1"/>
      </w:pBdr>
    </w:pPr>
    <w:rPr>
      <w:color w:val="0051BA" w:themeColor="accent1"/>
    </w:rPr>
  </w:style>
  <w:style w:type="paragraph" w:styleId="EndnoteText">
    <w:name w:val="endnote text"/>
    <w:basedOn w:val="Normal"/>
    <w:link w:val="EndnoteTextChar"/>
    <w:uiPriority w:val="99"/>
    <w:unhideWhenUsed/>
    <w:rsid w:val="00892992"/>
    <w:pPr>
      <w:spacing w:before="0" w:after="0" w:line="240" w:lineRule="auto"/>
    </w:pPr>
    <w:rPr>
      <w:sz w:val="20"/>
      <w:szCs w:val="20"/>
    </w:rPr>
  </w:style>
  <w:style w:type="character" w:customStyle="1" w:styleId="EndnoteTextChar">
    <w:name w:val="Endnote Text Char"/>
    <w:basedOn w:val="DefaultParagraphFont"/>
    <w:link w:val="EndnoteText"/>
    <w:uiPriority w:val="99"/>
    <w:rsid w:val="00892992"/>
    <w:rPr>
      <w:sz w:val="20"/>
      <w:szCs w:val="20"/>
    </w:rPr>
  </w:style>
  <w:style w:type="paragraph" w:styleId="Title">
    <w:name w:val="Title"/>
    <w:basedOn w:val="Normal"/>
    <w:next w:val="Normal"/>
    <w:link w:val="TitleChar"/>
    <w:uiPriority w:val="11"/>
    <w:qFormat/>
    <w:locked/>
    <w:rsid w:val="00892992"/>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1"/>
    <w:rsid w:val="00892992"/>
    <w:rPr>
      <w:rFonts w:asciiTheme="majorHAnsi" w:eastAsiaTheme="majorEastAsia" w:hAnsiTheme="majorHAnsi" w:cstheme="majorBidi"/>
      <w:spacing w:val="-10"/>
      <w:kern w:val="28"/>
      <w:sz w:val="56"/>
      <w:szCs w:val="56"/>
    </w:rPr>
  </w:style>
  <w:style w:type="paragraph" w:styleId="TOC4">
    <w:name w:val="toc 4"/>
    <w:basedOn w:val="Normal"/>
    <w:next w:val="Normal"/>
    <w:autoRedefine/>
    <w:uiPriority w:val="39"/>
    <w:semiHidden/>
    <w:unhideWhenUsed/>
    <w:locked/>
    <w:rsid w:val="00892992"/>
    <w:pPr>
      <w:spacing w:after="100"/>
      <w:ind w:left="660"/>
    </w:pPr>
  </w:style>
  <w:style w:type="paragraph" w:styleId="TOC5">
    <w:name w:val="toc 5"/>
    <w:basedOn w:val="Normal"/>
    <w:next w:val="Normal"/>
    <w:autoRedefine/>
    <w:uiPriority w:val="39"/>
    <w:semiHidden/>
    <w:unhideWhenUsed/>
    <w:locked/>
    <w:rsid w:val="00892992"/>
    <w:pPr>
      <w:spacing w:after="100"/>
      <w:ind w:left="880"/>
    </w:pPr>
  </w:style>
  <w:style w:type="paragraph" w:styleId="TOC6">
    <w:name w:val="toc 6"/>
    <w:basedOn w:val="Normal"/>
    <w:next w:val="Normal"/>
    <w:autoRedefine/>
    <w:uiPriority w:val="39"/>
    <w:semiHidden/>
    <w:unhideWhenUsed/>
    <w:locked/>
    <w:rsid w:val="00892992"/>
    <w:pPr>
      <w:spacing w:after="100"/>
      <w:ind w:left="1100"/>
    </w:pPr>
  </w:style>
  <w:style w:type="paragraph" w:styleId="TOC7">
    <w:name w:val="toc 7"/>
    <w:basedOn w:val="Normal"/>
    <w:next w:val="Normal"/>
    <w:autoRedefine/>
    <w:uiPriority w:val="39"/>
    <w:semiHidden/>
    <w:unhideWhenUsed/>
    <w:locked/>
    <w:rsid w:val="00892992"/>
    <w:pPr>
      <w:spacing w:after="100"/>
      <w:ind w:left="1320"/>
    </w:pPr>
  </w:style>
  <w:style w:type="paragraph" w:styleId="TOC8">
    <w:name w:val="toc 8"/>
    <w:basedOn w:val="Normal"/>
    <w:next w:val="Normal"/>
    <w:autoRedefine/>
    <w:uiPriority w:val="39"/>
    <w:semiHidden/>
    <w:unhideWhenUsed/>
    <w:locked/>
    <w:rsid w:val="00892992"/>
    <w:pPr>
      <w:spacing w:after="100"/>
      <w:ind w:left="1540"/>
    </w:pPr>
  </w:style>
  <w:style w:type="paragraph" w:styleId="TOC9">
    <w:name w:val="toc 9"/>
    <w:basedOn w:val="Normal"/>
    <w:next w:val="Normal"/>
    <w:autoRedefine/>
    <w:uiPriority w:val="39"/>
    <w:semiHidden/>
    <w:unhideWhenUsed/>
    <w:locked/>
    <w:rsid w:val="00892992"/>
    <w:pPr>
      <w:spacing w:after="100"/>
      <w:ind w:left="1760"/>
    </w:pPr>
  </w:style>
  <w:style w:type="paragraph" w:customStyle="1" w:styleId="space">
    <w:name w:val="space"/>
    <w:basedOn w:val="Normal"/>
    <w:qFormat/>
    <w:rsid w:val="00802EA1"/>
    <w:pPr>
      <w:spacing w:before="60" w:line="240" w:lineRule="auto"/>
    </w:pPr>
    <w:rPr>
      <w:sz w:val="8"/>
    </w:rPr>
  </w:style>
  <w:style w:type="paragraph" w:customStyle="1" w:styleId="Default">
    <w:name w:val="Default"/>
    <w:rsid w:val="00097D8D"/>
    <w:pPr>
      <w:autoSpaceDE w:val="0"/>
      <w:autoSpaceDN w:val="0"/>
      <w:adjustRightInd w:val="0"/>
      <w:spacing w:before="0" w:after="0" w:line="240" w:lineRule="auto"/>
    </w:pPr>
    <w:rPr>
      <w:rFonts w:cs="Corbel"/>
      <w:color w:val="000000"/>
      <w:sz w:val="24"/>
      <w:szCs w:val="24"/>
    </w:rPr>
  </w:style>
  <w:style w:type="paragraph" w:customStyle="1" w:styleId="Parts">
    <w:name w:val="Parts"/>
    <w:basedOn w:val="TOCVol"/>
    <w:qFormat/>
    <w:rsid w:val="00D73773"/>
    <w:pPr>
      <w:pBdr>
        <w:top w:val="single" w:sz="4" w:space="3" w:color="BEDAFF" w:themeColor="accent1" w:themeTint="33"/>
        <w:left w:val="single" w:sz="4" w:space="4" w:color="BEDAFF" w:themeColor="accent1" w:themeTint="33"/>
        <w:bottom w:val="single" w:sz="4" w:space="3" w:color="BEDAFF" w:themeColor="accent1" w:themeTint="33"/>
        <w:right w:val="single" w:sz="4" w:space="4" w:color="BEDAFF" w:themeColor="accent1" w:themeTint="33"/>
      </w:pBdr>
      <w:shd w:val="clear" w:color="auto" w:fill="BEDAFF" w:themeFill="accent1" w:themeFillTint="33"/>
      <w:ind w:left="992" w:right="964"/>
    </w:pPr>
    <w:rPr>
      <w:color w:val="FF9900"/>
    </w:rPr>
  </w:style>
  <w:style w:type="paragraph" w:customStyle="1" w:styleId="TableText">
    <w:name w:val="Table Text"/>
    <w:basedOn w:val="Normal"/>
    <w:link w:val="TableTextChar"/>
    <w:qFormat/>
    <w:rsid w:val="0077627F"/>
    <w:pPr>
      <w:spacing w:before="40" w:after="40" w:line="264" w:lineRule="auto"/>
    </w:pPr>
    <w:rPr>
      <w:sz w:val="21"/>
    </w:rPr>
  </w:style>
  <w:style w:type="paragraph" w:customStyle="1" w:styleId="TableBullet">
    <w:name w:val="Table Bullet"/>
    <w:basedOn w:val="TableText"/>
    <w:autoRedefine/>
    <w:qFormat/>
    <w:rsid w:val="0077627F"/>
    <w:pPr>
      <w:numPr>
        <w:numId w:val="37"/>
      </w:numPr>
      <w:tabs>
        <w:tab w:val="num" w:pos="926"/>
      </w:tabs>
      <w:ind w:left="454" w:hanging="284"/>
    </w:pPr>
    <w:rPr>
      <w:szCs w:val="20"/>
    </w:rPr>
  </w:style>
  <w:style w:type="table" w:customStyle="1" w:styleId="TableGridLight1">
    <w:name w:val="Table Grid Light1"/>
    <w:basedOn w:val="TableNormal"/>
    <w:uiPriority w:val="40"/>
    <w:rsid w:val="0077627F"/>
    <w:pPr>
      <w:spacing w:before="0" w:after="0" w:line="240" w:lineRule="auto"/>
    </w:pPr>
    <w:rPr>
      <w:rFonts w:asciiTheme="minorHAnsi" w:hAnsi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TableTextChar">
    <w:name w:val="Table Text Char"/>
    <w:link w:val="TableText"/>
    <w:locked/>
    <w:rsid w:val="0077627F"/>
    <w:rPr>
      <w:sz w:val="21"/>
    </w:rPr>
  </w:style>
</w:styles>
</file>

<file path=word/webSettings.xml><?xml version="1.0" encoding="utf-8"?>
<w:webSettings xmlns:r="http://schemas.openxmlformats.org/officeDocument/2006/relationships" xmlns:w="http://schemas.openxmlformats.org/wordprocessingml/2006/main">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83774906">
      <w:bodyDiv w:val="1"/>
      <w:marLeft w:val="0"/>
      <w:marRight w:val="0"/>
      <w:marTop w:val="0"/>
      <w:marBottom w:val="0"/>
      <w:divBdr>
        <w:top w:val="none" w:sz="0" w:space="0" w:color="auto"/>
        <w:left w:val="none" w:sz="0" w:space="0" w:color="auto"/>
        <w:bottom w:val="none" w:sz="0" w:space="0" w:color="auto"/>
        <w:right w:val="none" w:sz="0" w:space="0" w:color="auto"/>
      </w:divBdr>
    </w:div>
    <w:div w:id="308562453">
      <w:bodyDiv w:val="1"/>
      <w:marLeft w:val="0"/>
      <w:marRight w:val="0"/>
      <w:marTop w:val="0"/>
      <w:marBottom w:val="0"/>
      <w:divBdr>
        <w:top w:val="none" w:sz="0" w:space="0" w:color="auto"/>
        <w:left w:val="none" w:sz="0" w:space="0" w:color="auto"/>
        <w:bottom w:val="none" w:sz="0" w:space="0" w:color="auto"/>
        <w:right w:val="none" w:sz="0" w:space="0" w:color="auto"/>
      </w:divBdr>
    </w:div>
    <w:div w:id="344329324">
      <w:bodyDiv w:val="1"/>
      <w:marLeft w:val="0"/>
      <w:marRight w:val="0"/>
      <w:marTop w:val="0"/>
      <w:marBottom w:val="0"/>
      <w:divBdr>
        <w:top w:val="none" w:sz="0" w:space="0" w:color="auto"/>
        <w:left w:val="none" w:sz="0" w:space="0" w:color="auto"/>
        <w:bottom w:val="none" w:sz="0" w:space="0" w:color="auto"/>
        <w:right w:val="none" w:sz="0" w:space="0" w:color="auto"/>
      </w:divBdr>
    </w:div>
    <w:div w:id="528567525">
      <w:bodyDiv w:val="1"/>
      <w:marLeft w:val="0"/>
      <w:marRight w:val="0"/>
      <w:marTop w:val="0"/>
      <w:marBottom w:val="0"/>
      <w:divBdr>
        <w:top w:val="none" w:sz="0" w:space="0" w:color="auto"/>
        <w:left w:val="none" w:sz="0" w:space="0" w:color="auto"/>
        <w:bottom w:val="none" w:sz="0" w:space="0" w:color="auto"/>
        <w:right w:val="none" w:sz="0" w:space="0" w:color="auto"/>
      </w:divBdr>
    </w:div>
    <w:div w:id="589388244">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848761541">
      <w:bodyDiv w:val="1"/>
      <w:marLeft w:val="0"/>
      <w:marRight w:val="0"/>
      <w:marTop w:val="0"/>
      <w:marBottom w:val="0"/>
      <w:divBdr>
        <w:top w:val="none" w:sz="0" w:space="0" w:color="auto"/>
        <w:left w:val="none" w:sz="0" w:space="0" w:color="auto"/>
        <w:bottom w:val="none" w:sz="0" w:space="0" w:color="auto"/>
        <w:right w:val="none" w:sz="0" w:space="0" w:color="auto"/>
      </w:divBdr>
    </w:div>
    <w:div w:id="933826470">
      <w:bodyDiv w:val="1"/>
      <w:marLeft w:val="0"/>
      <w:marRight w:val="0"/>
      <w:marTop w:val="0"/>
      <w:marBottom w:val="0"/>
      <w:divBdr>
        <w:top w:val="none" w:sz="0" w:space="0" w:color="auto"/>
        <w:left w:val="none" w:sz="0" w:space="0" w:color="auto"/>
        <w:bottom w:val="none" w:sz="0" w:space="0" w:color="auto"/>
        <w:right w:val="none" w:sz="0" w:space="0" w:color="auto"/>
      </w:divBdr>
    </w:div>
    <w:div w:id="942034502">
      <w:bodyDiv w:val="1"/>
      <w:marLeft w:val="0"/>
      <w:marRight w:val="0"/>
      <w:marTop w:val="0"/>
      <w:marBottom w:val="0"/>
      <w:divBdr>
        <w:top w:val="none" w:sz="0" w:space="0" w:color="auto"/>
        <w:left w:val="none" w:sz="0" w:space="0" w:color="auto"/>
        <w:bottom w:val="none" w:sz="0" w:space="0" w:color="auto"/>
        <w:right w:val="none" w:sz="0" w:space="0" w:color="auto"/>
      </w:divBdr>
    </w:div>
    <w:div w:id="1004209422">
      <w:bodyDiv w:val="1"/>
      <w:marLeft w:val="0"/>
      <w:marRight w:val="0"/>
      <w:marTop w:val="0"/>
      <w:marBottom w:val="0"/>
      <w:divBdr>
        <w:top w:val="none" w:sz="0" w:space="0" w:color="auto"/>
        <w:left w:val="none" w:sz="0" w:space="0" w:color="auto"/>
        <w:bottom w:val="none" w:sz="0" w:space="0" w:color="auto"/>
        <w:right w:val="none" w:sz="0" w:space="0" w:color="auto"/>
      </w:divBdr>
    </w:div>
    <w:div w:id="1164660361">
      <w:bodyDiv w:val="1"/>
      <w:marLeft w:val="0"/>
      <w:marRight w:val="0"/>
      <w:marTop w:val="0"/>
      <w:marBottom w:val="0"/>
      <w:divBdr>
        <w:top w:val="none" w:sz="0" w:space="0" w:color="auto"/>
        <w:left w:val="none" w:sz="0" w:space="0" w:color="auto"/>
        <w:bottom w:val="none" w:sz="0" w:space="0" w:color="auto"/>
        <w:right w:val="none" w:sz="0" w:space="0" w:color="auto"/>
      </w:divBdr>
    </w:div>
    <w:div w:id="1208953980">
      <w:bodyDiv w:val="1"/>
      <w:marLeft w:val="0"/>
      <w:marRight w:val="0"/>
      <w:marTop w:val="0"/>
      <w:marBottom w:val="0"/>
      <w:divBdr>
        <w:top w:val="none" w:sz="0" w:space="0" w:color="auto"/>
        <w:left w:val="none" w:sz="0" w:space="0" w:color="auto"/>
        <w:bottom w:val="none" w:sz="0" w:space="0" w:color="auto"/>
        <w:right w:val="none" w:sz="0" w:space="0" w:color="auto"/>
      </w:divBdr>
    </w:div>
    <w:div w:id="1402943951">
      <w:bodyDiv w:val="1"/>
      <w:marLeft w:val="0"/>
      <w:marRight w:val="0"/>
      <w:marTop w:val="0"/>
      <w:marBottom w:val="0"/>
      <w:divBdr>
        <w:top w:val="none" w:sz="0" w:space="0" w:color="auto"/>
        <w:left w:val="none" w:sz="0" w:space="0" w:color="auto"/>
        <w:bottom w:val="none" w:sz="0" w:space="0" w:color="auto"/>
        <w:right w:val="none" w:sz="0" w:space="0" w:color="auto"/>
      </w:divBdr>
    </w:div>
    <w:div w:id="1413040218">
      <w:bodyDiv w:val="1"/>
      <w:marLeft w:val="0"/>
      <w:marRight w:val="0"/>
      <w:marTop w:val="0"/>
      <w:marBottom w:val="0"/>
      <w:divBdr>
        <w:top w:val="none" w:sz="0" w:space="0" w:color="auto"/>
        <w:left w:val="none" w:sz="0" w:space="0" w:color="auto"/>
        <w:bottom w:val="none" w:sz="0" w:space="0" w:color="auto"/>
        <w:right w:val="none" w:sz="0" w:space="0" w:color="auto"/>
      </w:divBdr>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 w:id="1745950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26" Type="http://schemas.openxmlformats.org/officeDocument/2006/relationships/image" Target="media/image10.jpeg"/><Relationship Id="rId39" Type="http://schemas.openxmlformats.org/officeDocument/2006/relationships/hyperlink" Target="http://actlawcourtsproject.com.au" TargetMode="External"/><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hyperlink" Target="http://www.procurement.act.gov.au/contracts" TargetMode="External"/><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image" Target="media/image9.jpeg"/><Relationship Id="rId33" Type="http://schemas.openxmlformats.org/officeDocument/2006/relationships/image" Target="media/image15.png"/><Relationship Id="rId38" Type="http://schemas.openxmlformats.org/officeDocument/2006/relationships/hyperlink" Target="http://www.justice.act.gov.au" TargetMode="Externa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hyperlink" Target="https://infrastructure.gov.au/infrastructure/ngpd/" TargetMode="External"/><Relationship Id="rId41" Type="http://schemas.openxmlformats.org/officeDocument/2006/relationships/hyperlink" Target="http://www.treasury.act.gov.a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hyperlink" Target="http://apps.treasury.act.gov.au/partnerships-framework" TargetMode="External"/><Relationship Id="rId40" Type="http://schemas.openxmlformats.org/officeDocument/2006/relationships/hyperlink" Target="http://www.justice.act.gov.au"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www.procurement.act.gov.au/contracts" TargetMode="External"/><Relationship Id="rId23" Type="http://schemas.openxmlformats.org/officeDocument/2006/relationships/header" Target="header2.xml"/><Relationship Id="rId28" Type="http://schemas.openxmlformats.org/officeDocument/2006/relationships/image" Target="media/image12.png"/><Relationship Id="rId36" Type="http://schemas.openxmlformats.org/officeDocument/2006/relationships/hyperlink" Target="http://www.procurement.act.gov.au/contracts" TargetMode="Externa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apps.treasury.act.gov.au/partnerships-framework" TargetMode="External"/><Relationship Id="rId22" Type="http://schemas.openxmlformats.org/officeDocument/2006/relationships/header" Target="header1.xml"/><Relationship Id="rId27" Type="http://schemas.openxmlformats.org/officeDocument/2006/relationships/image" Target="media/image11.png"/><Relationship Id="rId30" Type="http://schemas.openxmlformats.org/officeDocument/2006/relationships/hyperlink" Target="http://apps.treasury.act.gov.au/partnerships-framework" TargetMode="External"/><Relationship Id="rId35" Type="http://schemas.openxmlformats.org/officeDocument/2006/relationships/image" Target="media/image16.emf"/><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loyd%20esau\AppData\Local\Microsoft\Windows\Temporary%20Internet%20Files\Content.Outlook\LRH37E3T\RFP%20Protected%20Template%20V2%201%20Custom%20Tab%20removed.dotx" TargetMode="External"/></Relationships>
</file>

<file path=word/theme/theme1.xml><?xml version="1.0" encoding="utf-8"?>
<a:theme xmlns:a="http://schemas.openxmlformats.org/drawingml/2006/main" name="Office Theme">
  <a:themeElements>
    <a:clrScheme name="ACT Law">
      <a:dk1>
        <a:sysClr val="windowText" lastClr="000000"/>
      </a:dk1>
      <a:lt1>
        <a:sysClr val="window" lastClr="FFFFFF"/>
      </a:lt1>
      <a:dk2>
        <a:srgbClr val="000000"/>
      </a:dk2>
      <a:lt2>
        <a:srgbClr val="F8F8F8"/>
      </a:lt2>
      <a:accent1>
        <a:srgbClr val="0051BA"/>
      </a:accent1>
      <a:accent2>
        <a:srgbClr val="FFC61E"/>
      </a:accent2>
      <a:accent3>
        <a:srgbClr val="3C91FF"/>
      </a:accent3>
      <a:accent4>
        <a:srgbClr val="FFDC77"/>
      </a:accent4>
      <a:accent5>
        <a:srgbClr val="BEDAFF"/>
      </a:accent5>
      <a:accent6>
        <a:srgbClr val="FFF3D2"/>
      </a:accent6>
      <a:hlink>
        <a:srgbClr val="0051BA"/>
      </a:hlink>
      <a:folHlink>
        <a:srgbClr val="003C8B"/>
      </a:folHlink>
    </a:clrScheme>
    <a:fontScheme name="ACT Law">
      <a:majorFont>
        <a:latin typeface="Arial"/>
        <a:ea typeface=""/>
        <a:cs typeface=""/>
      </a:majorFont>
      <a:minorFont>
        <a:latin typeface="Corbe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24FBC636FBE8E498CD93751EC846EE2" ma:contentTypeVersion="0" ma:contentTypeDescription="Create a new document." ma:contentTypeScope="" ma:versionID="7337739c76f88ea539a82676a3df4a0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18931D-990F-4AE2-A261-DD3004EA69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B89655D-E7BC-46DA-ACA8-748AE3DEB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612F093-537B-4F59-9AE7-71005AB1993B}">
  <ds:schemaRefs>
    <ds:schemaRef ds:uri="http://schemas.microsoft.com/sharepoint/v3/contenttype/forms"/>
  </ds:schemaRefs>
</ds:datastoreItem>
</file>

<file path=customXml/itemProps4.xml><?xml version="1.0" encoding="utf-8"?>
<ds:datastoreItem xmlns:ds="http://schemas.openxmlformats.org/officeDocument/2006/customXml" ds:itemID="{D83D91CE-8697-4C35-9768-0ED79B5F5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RFP Protected Template V2 1 Custom Tab removed</Template>
  <TotalTime>47</TotalTime>
  <Pages>40</Pages>
  <Words>9584</Words>
  <Characters>56775</Characters>
  <Application>Microsoft Office Word</Application>
  <DocSecurity>0</DocSecurity>
  <Lines>473</Lines>
  <Paragraphs>132</Paragraphs>
  <ScaleCrop>false</ScaleCrop>
  <HeadingPairs>
    <vt:vector size="2" baseType="variant">
      <vt:variant>
        <vt:lpstr>Title</vt:lpstr>
      </vt:variant>
      <vt:variant>
        <vt:i4>1</vt:i4>
      </vt:variant>
    </vt:vector>
  </HeadingPairs>
  <TitlesOfParts>
    <vt:vector size="1" baseType="lpstr">
      <vt:lpstr/>
    </vt:vector>
  </TitlesOfParts>
  <Company>ACT Government</Company>
  <LinksUpToDate>false</LinksUpToDate>
  <CharactersWithSpaces>66227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Lloyd Esau</dc:creator>
  <cp:lastModifiedBy>kylie bailey</cp:lastModifiedBy>
  <cp:revision>6</cp:revision>
  <cp:lastPrinted>2016-06-15T05:54:00Z</cp:lastPrinted>
  <dcterms:created xsi:type="dcterms:W3CDTF">2016-06-15T07:01:00Z</dcterms:created>
  <dcterms:modified xsi:type="dcterms:W3CDTF">2016-06-17T01:49:00Z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0x010100E24FBC636FBE8E498CD93751EC846EE2</vt:lpwstr>
  </property>
</Properties>
</file>