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476" w:rsidRPr="00107A86" w:rsidRDefault="00CD009F" w:rsidP="00CD009F">
      <w:pPr>
        <w:pStyle w:val="Title"/>
        <w:rPr>
          <w:b/>
          <w:sz w:val="40"/>
          <w:szCs w:val="40"/>
        </w:rPr>
      </w:pPr>
      <w:r w:rsidRPr="00107A86">
        <w:rPr>
          <w:b/>
          <w:sz w:val="40"/>
          <w:szCs w:val="40"/>
        </w:rPr>
        <w:t>Cook Community Hub</w:t>
      </w:r>
    </w:p>
    <w:p w:rsidR="00CD009F" w:rsidRPr="001D72CC" w:rsidRDefault="00E46DE8" w:rsidP="00CD009F">
      <w:pPr>
        <w:pStyle w:val="Subtitle"/>
        <w:rPr>
          <w:sz w:val="24"/>
        </w:rPr>
      </w:pPr>
      <w:r>
        <w:rPr>
          <w:sz w:val="24"/>
        </w:rPr>
        <w:t>1st</w:t>
      </w:r>
      <w:r w:rsidR="00CD009F" w:rsidRPr="001D72CC">
        <w:rPr>
          <w:sz w:val="24"/>
        </w:rPr>
        <w:t xml:space="preserve"> Quarterly Energy Report – </w:t>
      </w:r>
      <w:r>
        <w:rPr>
          <w:sz w:val="24"/>
        </w:rPr>
        <w:t>September</w:t>
      </w:r>
      <w:r w:rsidR="00CD009F" w:rsidRPr="001D72CC">
        <w:rPr>
          <w:sz w:val="24"/>
        </w:rPr>
        <w:t xml:space="preserve"> 2014 to </w:t>
      </w:r>
      <w:r>
        <w:rPr>
          <w:sz w:val="24"/>
        </w:rPr>
        <w:t>November 2014</w:t>
      </w:r>
    </w:p>
    <w:p w:rsidR="00CD009F" w:rsidRPr="002E05DE" w:rsidRDefault="00CD009F" w:rsidP="00CD009F">
      <w:pPr>
        <w:pStyle w:val="Heading1"/>
        <w:rPr>
          <w:b/>
          <w:sz w:val="28"/>
          <w:szCs w:val="28"/>
        </w:rPr>
      </w:pPr>
      <w:r w:rsidRPr="002E05DE">
        <w:rPr>
          <w:b/>
          <w:sz w:val="28"/>
          <w:szCs w:val="28"/>
        </w:rPr>
        <w:t>Introduction</w:t>
      </w:r>
    </w:p>
    <w:p w:rsidR="00CD009F" w:rsidRDefault="00CD009F" w:rsidP="00CD009F">
      <w:r>
        <w:t>This report summarises the energy saving results to date for Cook Community Hub. The site is</w:t>
      </w:r>
      <w:r w:rsidR="00E46DE8">
        <w:t xml:space="preserve"> now 3</w:t>
      </w:r>
      <w:r>
        <w:t xml:space="preserve"> months into its 12 month monitoring period.</w:t>
      </w:r>
    </w:p>
    <w:p w:rsidR="00CA5F5F" w:rsidRDefault="00CA5F5F" w:rsidP="00CD009F">
      <w:r>
        <w:t>For the first 3</w:t>
      </w:r>
      <w:r w:rsidRPr="001D72CC">
        <w:t xml:space="preserve"> months since the CEEP upgrade works, the site has reduced i</w:t>
      </w:r>
      <w:r>
        <w:t>ts electricity consumption by 14</w:t>
      </w:r>
      <w:r w:rsidRPr="001D72CC">
        <w:t>% and gas consumption by 53% (compared to the baseline period).</w:t>
      </w:r>
      <w:r>
        <w:t xml:space="preserve"> The gas savings so far have been an excellent result, largely due to the new efficient boilers and improved building insulation. Although the electricity savings have been significant, there is still room for further improvement, particularly if the use o</w:t>
      </w:r>
      <w:bookmarkStart w:id="0" w:name="_GoBack"/>
      <w:bookmarkEnd w:id="0"/>
      <w:r>
        <w:t>f portable electric heaters can be reduced.</w:t>
      </w:r>
    </w:p>
    <w:p w:rsidR="00CD009F" w:rsidRPr="002E05DE" w:rsidRDefault="00CD009F" w:rsidP="00CD009F">
      <w:pPr>
        <w:pStyle w:val="Heading1"/>
        <w:rPr>
          <w:b/>
          <w:sz w:val="28"/>
          <w:szCs w:val="28"/>
        </w:rPr>
      </w:pPr>
      <w:r w:rsidRPr="002E05DE">
        <w:rPr>
          <w:b/>
          <w:sz w:val="28"/>
          <w:szCs w:val="28"/>
        </w:rPr>
        <w:t>Results</w:t>
      </w:r>
    </w:p>
    <w:p w:rsidR="00724AEF" w:rsidRDefault="00724AEF" w:rsidP="00A60842">
      <w:pPr>
        <w:pStyle w:val="Caption"/>
        <w:keepNext/>
        <w:spacing w:after="0"/>
        <w:jc w:val="center"/>
      </w:pPr>
    </w:p>
    <w:tbl>
      <w:tblPr>
        <w:tblStyle w:val="TableGrid"/>
        <w:tblW w:w="0" w:type="auto"/>
        <w:tblLook w:val="04A0"/>
      </w:tblPr>
      <w:tblGrid>
        <w:gridCol w:w="2254"/>
        <w:gridCol w:w="2254"/>
        <w:gridCol w:w="2254"/>
        <w:gridCol w:w="2254"/>
      </w:tblGrid>
      <w:tr w:rsidR="00CA5F5F" w:rsidTr="002E05DE">
        <w:trPr>
          <w:trHeight w:val="292"/>
        </w:trPr>
        <w:tc>
          <w:tcPr>
            <w:tcW w:w="9016" w:type="dxa"/>
            <w:gridSpan w:val="4"/>
            <w:shd w:val="clear" w:color="auto" w:fill="BFBFBF" w:themeFill="background1" w:themeFillShade="BF"/>
            <w:vAlign w:val="center"/>
          </w:tcPr>
          <w:p w:rsidR="00CA5F5F" w:rsidRPr="002E05DE" w:rsidRDefault="00CA5F5F" w:rsidP="002E05DE">
            <w:pPr>
              <w:pStyle w:val="Caption"/>
              <w:keepNext/>
              <w:spacing w:after="0"/>
              <w:jc w:val="center"/>
              <w:rPr>
                <w:b/>
                <w:i w:val="0"/>
                <w:color w:val="000000" w:themeColor="text1"/>
                <w:sz w:val="20"/>
                <w:szCs w:val="20"/>
              </w:rPr>
            </w:pPr>
            <w:r w:rsidRPr="002E05DE">
              <w:rPr>
                <w:b/>
                <w:i w:val="0"/>
                <w:color w:val="000000" w:themeColor="text1"/>
                <w:sz w:val="20"/>
                <w:szCs w:val="20"/>
              </w:rPr>
              <w:t xml:space="preserve">Table </w:t>
            </w:r>
            <w:r w:rsidR="007249BF" w:rsidRPr="002E05DE">
              <w:rPr>
                <w:b/>
                <w:i w:val="0"/>
                <w:color w:val="000000" w:themeColor="text1"/>
                <w:sz w:val="20"/>
                <w:szCs w:val="20"/>
              </w:rPr>
              <w:fldChar w:fldCharType="begin"/>
            </w:r>
            <w:r w:rsidRPr="002E05DE">
              <w:rPr>
                <w:b/>
                <w:i w:val="0"/>
                <w:color w:val="000000" w:themeColor="text1"/>
                <w:sz w:val="20"/>
                <w:szCs w:val="20"/>
              </w:rPr>
              <w:instrText xml:space="preserve"> SEQ Table \* ARABIC </w:instrText>
            </w:r>
            <w:r w:rsidR="007249BF" w:rsidRPr="002E05DE">
              <w:rPr>
                <w:b/>
                <w:i w:val="0"/>
                <w:color w:val="000000" w:themeColor="text1"/>
                <w:sz w:val="20"/>
                <w:szCs w:val="20"/>
              </w:rPr>
              <w:fldChar w:fldCharType="separate"/>
            </w:r>
            <w:r w:rsidRPr="002E05DE">
              <w:rPr>
                <w:b/>
                <w:i w:val="0"/>
                <w:noProof/>
                <w:color w:val="000000" w:themeColor="text1"/>
                <w:sz w:val="20"/>
                <w:szCs w:val="20"/>
              </w:rPr>
              <w:t>1</w:t>
            </w:r>
            <w:r w:rsidR="007249BF" w:rsidRPr="002E05DE">
              <w:rPr>
                <w:b/>
                <w:i w:val="0"/>
                <w:color w:val="000000" w:themeColor="text1"/>
                <w:sz w:val="20"/>
                <w:szCs w:val="20"/>
              </w:rPr>
              <w:fldChar w:fldCharType="end"/>
            </w:r>
            <w:r w:rsidRPr="002E05DE">
              <w:rPr>
                <w:b/>
                <w:i w:val="0"/>
                <w:color w:val="000000" w:themeColor="text1"/>
                <w:sz w:val="20"/>
                <w:szCs w:val="20"/>
              </w:rPr>
              <w:t>: Energy savings to date (3 months so far)</w:t>
            </w:r>
          </w:p>
        </w:tc>
      </w:tr>
      <w:tr w:rsidR="00CD009F" w:rsidTr="002E05DE">
        <w:trPr>
          <w:trHeight w:val="456"/>
        </w:trPr>
        <w:tc>
          <w:tcPr>
            <w:tcW w:w="2254" w:type="dxa"/>
            <w:shd w:val="clear" w:color="auto" w:fill="D9D9D9" w:themeFill="background1" w:themeFillShade="D9"/>
            <w:vAlign w:val="center"/>
          </w:tcPr>
          <w:p w:rsidR="00CD009F" w:rsidRPr="00724AEF" w:rsidRDefault="00965E04" w:rsidP="00A60842">
            <w:pPr>
              <w:jc w:val="center"/>
              <w:rPr>
                <w:b/>
              </w:rPr>
            </w:pPr>
            <w:r w:rsidRPr="00724AEF">
              <w:rPr>
                <w:b/>
              </w:rPr>
              <w:t>Fuel Type</w:t>
            </w:r>
          </w:p>
        </w:tc>
        <w:tc>
          <w:tcPr>
            <w:tcW w:w="2254" w:type="dxa"/>
            <w:shd w:val="clear" w:color="auto" w:fill="D9D9D9" w:themeFill="background1" w:themeFillShade="D9"/>
            <w:vAlign w:val="center"/>
          </w:tcPr>
          <w:p w:rsidR="00CD009F" w:rsidRPr="00724AEF" w:rsidRDefault="00CD009F" w:rsidP="00A60842">
            <w:pPr>
              <w:jc w:val="center"/>
              <w:rPr>
                <w:b/>
              </w:rPr>
            </w:pPr>
            <w:r w:rsidRPr="00724AEF">
              <w:rPr>
                <w:b/>
              </w:rPr>
              <w:t>Baseline period</w:t>
            </w:r>
          </w:p>
        </w:tc>
        <w:tc>
          <w:tcPr>
            <w:tcW w:w="2254" w:type="dxa"/>
            <w:shd w:val="clear" w:color="auto" w:fill="D9D9D9" w:themeFill="background1" w:themeFillShade="D9"/>
            <w:vAlign w:val="center"/>
          </w:tcPr>
          <w:p w:rsidR="00CD009F" w:rsidRPr="00724AEF" w:rsidRDefault="00CD009F" w:rsidP="00A60842">
            <w:pPr>
              <w:jc w:val="center"/>
              <w:rPr>
                <w:b/>
              </w:rPr>
            </w:pPr>
            <w:r w:rsidRPr="00724AEF">
              <w:rPr>
                <w:b/>
              </w:rPr>
              <w:t>Current period</w:t>
            </w:r>
          </w:p>
        </w:tc>
        <w:tc>
          <w:tcPr>
            <w:tcW w:w="2254" w:type="dxa"/>
            <w:shd w:val="clear" w:color="auto" w:fill="D9D9D9" w:themeFill="background1" w:themeFillShade="D9"/>
            <w:vAlign w:val="center"/>
          </w:tcPr>
          <w:p w:rsidR="00CD009F" w:rsidRPr="00724AEF" w:rsidRDefault="00CD009F" w:rsidP="00A60842">
            <w:pPr>
              <w:jc w:val="center"/>
              <w:rPr>
                <w:b/>
              </w:rPr>
            </w:pPr>
            <w:r w:rsidRPr="00724AEF">
              <w:rPr>
                <w:b/>
              </w:rPr>
              <w:t>Saving achieved to date</w:t>
            </w:r>
          </w:p>
        </w:tc>
      </w:tr>
      <w:tr w:rsidR="00CD009F" w:rsidTr="009C63C7">
        <w:trPr>
          <w:trHeight w:val="464"/>
        </w:trPr>
        <w:tc>
          <w:tcPr>
            <w:tcW w:w="2254" w:type="dxa"/>
            <w:vAlign w:val="center"/>
          </w:tcPr>
          <w:p w:rsidR="00CD009F" w:rsidRDefault="00724AEF" w:rsidP="00A60842">
            <w:pPr>
              <w:jc w:val="center"/>
            </w:pPr>
            <w:r>
              <w:t>Electricity</w:t>
            </w:r>
          </w:p>
        </w:tc>
        <w:tc>
          <w:tcPr>
            <w:tcW w:w="2254" w:type="dxa"/>
            <w:vAlign w:val="center"/>
          </w:tcPr>
          <w:p w:rsidR="00CD009F" w:rsidRDefault="00E46DE8" w:rsidP="00A60842">
            <w:pPr>
              <w:jc w:val="center"/>
            </w:pPr>
            <w:r>
              <w:t>38,670</w:t>
            </w:r>
            <w:r w:rsidR="00724AEF">
              <w:t xml:space="preserve"> kWh</w:t>
            </w:r>
          </w:p>
        </w:tc>
        <w:tc>
          <w:tcPr>
            <w:tcW w:w="2254" w:type="dxa"/>
            <w:vAlign w:val="center"/>
          </w:tcPr>
          <w:p w:rsidR="00CD009F" w:rsidRDefault="00E46DE8" w:rsidP="00A60842">
            <w:pPr>
              <w:jc w:val="center"/>
            </w:pPr>
            <w:r>
              <w:t>33,277</w:t>
            </w:r>
            <w:r w:rsidR="00724AEF">
              <w:t xml:space="preserve"> kWh</w:t>
            </w:r>
          </w:p>
        </w:tc>
        <w:tc>
          <w:tcPr>
            <w:tcW w:w="2254" w:type="dxa"/>
            <w:vAlign w:val="center"/>
          </w:tcPr>
          <w:p w:rsidR="00CD009F" w:rsidRDefault="00E46DE8" w:rsidP="00A60842">
            <w:pPr>
              <w:jc w:val="center"/>
            </w:pPr>
            <w:r>
              <w:t>5,393</w:t>
            </w:r>
            <w:r w:rsidR="00724AEF">
              <w:t xml:space="preserve"> kWh</w:t>
            </w:r>
          </w:p>
        </w:tc>
      </w:tr>
      <w:tr w:rsidR="00CD009F" w:rsidTr="009C63C7">
        <w:trPr>
          <w:trHeight w:val="429"/>
        </w:trPr>
        <w:tc>
          <w:tcPr>
            <w:tcW w:w="2254" w:type="dxa"/>
            <w:vAlign w:val="center"/>
          </w:tcPr>
          <w:p w:rsidR="00CD009F" w:rsidRDefault="00724AEF" w:rsidP="00A60842">
            <w:pPr>
              <w:jc w:val="center"/>
            </w:pPr>
            <w:r>
              <w:t>Gas</w:t>
            </w:r>
          </w:p>
        </w:tc>
        <w:tc>
          <w:tcPr>
            <w:tcW w:w="2254" w:type="dxa"/>
            <w:vAlign w:val="center"/>
          </w:tcPr>
          <w:p w:rsidR="00CD009F" w:rsidRDefault="00965E04" w:rsidP="00A60842">
            <w:pPr>
              <w:jc w:val="center"/>
            </w:pPr>
            <w:r>
              <w:t>474,415</w:t>
            </w:r>
            <w:r w:rsidR="00724AEF">
              <w:t xml:space="preserve"> MJ</w:t>
            </w:r>
          </w:p>
        </w:tc>
        <w:tc>
          <w:tcPr>
            <w:tcW w:w="2254" w:type="dxa"/>
            <w:vAlign w:val="center"/>
          </w:tcPr>
          <w:p w:rsidR="00CD009F" w:rsidRDefault="00965E04" w:rsidP="00A60842">
            <w:pPr>
              <w:jc w:val="center"/>
            </w:pPr>
            <w:r>
              <w:t>222,628</w:t>
            </w:r>
            <w:r w:rsidR="00724AEF">
              <w:t xml:space="preserve"> MJ</w:t>
            </w:r>
          </w:p>
        </w:tc>
        <w:tc>
          <w:tcPr>
            <w:tcW w:w="2254" w:type="dxa"/>
            <w:vAlign w:val="center"/>
          </w:tcPr>
          <w:p w:rsidR="00CD009F" w:rsidRDefault="00965E04" w:rsidP="00A60842">
            <w:pPr>
              <w:jc w:val="center"/>
            </w:pPr>
            <w:r>
              <w:t>251,787</w:t>
            </w:r>
            <w:r w:rsidR="00724AEF">
              <w:t xml:space="preserve"> MJ</w:t>
            </w:r>
          </w:p>
        </w:tc>
      </w:tr>
    </w:tbl>
    <w:p w:rsidR="00CD009F" w:rsidRDefault="00CD009F" w:rsidP="00CD009F"/>
    <w:tbl>
      <w:tblPr>
        <w:tblStyle w:val="TableGrid"/>
        <w:tblW w:w="0" w:type="auto"/>
        <w:jc w:val="center"/>
        <w:tblLook w:val="04A0"/>
      </w:tblPr>
      <w:tblGrid>
        <w:gridCol w:w="3397"/>
        <w:gridCol w:w="3261"/>
      </w:tblGrid>
      <w:tr w:rsidR="002E05DE" w:rsidTr="002E05DE">
        <w:trPr>
          <w:trHeight w:val="338"/>
          <w:jc w:val="center"/>
        </w:trPr>
        <w:tc>
          <w:tcPr>
            <w:tcW w:w="6658" w:type="dxa"/>
            <w:gridSpan w:val="2"/>
            <w:shd w:val="clear" w:color="auto" w:fill="BFBFBF" w:themeFill="background1" w:themeFillShade="BF"/>
            <w:vAlign w:val="center"/>
          </w:tcPr>
          <w:p w:rsidR="002E05DE" w:rsidRPr="002E05DE" w:rsidRDefault="002E05DE" w:rsidP="002E05DE">
            <w:pPr>
              <w:pStyle w:val="Caption"/>
              <w:keepNext/>
              <w:spacing w:after="0"/>
              <w:jc w:val="center"/>
              <w:rPr>
                <w:b/>
                <w:i w:val="0"/>
                <w:color w:val="000000" w:themeColor="text1"/>
                <w:sz w:val="20"/>
                <w:szCs w:val="20"/>
              </w:rPr>
            </w:pPr>
            <w:r w:rsidRPr="002E05DE">
              <w:rPr>
                <w:b/>
                <w:i w:val="0"/>
                <w:color w:val="000000" w:themeColor="text1"/>
                <w:sz w:val="20"/>
                <w:szCs w:val="20"/>
              </w:rPr>
              <w:t xml:space="preserve">Table </w:t>
            </w:r>
            <w:r w:rsidR="007249BF" w:rsidRPr="002E05DE">
              <w:rPr>
                <w:b/>
                <w:i w:val="0"/>
                <w:color w:val="000000" w:themeColor="text1"/>
                <w:sz w:val="20"/>
                <w:szCs w:val="20"/>
              </w:rPr>
              <w:fldChar w:fldCharType="begin"/>
            </w:r>
            <w:r w:rsidRPr="002E05DE">
              <w:rPr>
                <w:b/>
                <w:i w:val="0"/>
                <w:color w:val="000000" w:themeColor="text1"/>
                <w:sz w:val="20"/>
                <w:szCs w:val="20"/>
              </w:rPr>
              <w:instrText xml:space="preserve"> SEQ Table \* ARABIC </w:instrText>
            </w:r>
            <w:r w:rsidR="007249BF" w:rsidRPr="002E05DE">
              <w:rPr>
                <w:b/>
                <w:i w:val="0"/>
                <w:color w:val="000000" w:themeColor="text1"/>
                <w:sz w:val="20"/>
                <w:szCs w:val="20"/>
              </w:rPr>
              <w:fldChar w:fldCharType="separate"/>
            </w:r>
            <w:r w:rsidRPr="002E05DE">
              <w:rPr>
                <w:b/>
                <w:i w:val="0"/>
                <w:noProof/>
                <w:color w:val="000000" w:themeColor="text1"/>
                <w:sz w:val="20"/>
                <w:szCs w:val="20"/>
              </w:rPr>
              <w:t>2</w:t>
            </w:r>
            <w:r w:rsidR="007249BF" w:rsidRPr="002E05DE">
              <w:rPr>
                <w:b/>
                <w:i w:val="0"/>
                <w:color w:val="000000" w:themeColor="text1"/>
                <w:sz w:val="20"/>
                <w:szCs w:val="20"/>
              </w:rPr>
              <w:fldChar w:fldCharType="end"/>
            </w:r>
            <w:r w:rsidRPr="002E05DE">
              <w:rPr>
                <w:b/>
                <w:i w:val="0"/>
                <w:color w:val="000000" w:themeColor="text1"/>
                <w:sz w:val="20"/>
                <w:szCs w:val="20"/>
              </w:rPr>
              <w:t>: Other savings to date</w:t>
            </w:r>
          </w:p>
        </w:tc>
      </w:tr>
      <w:tr w:rsidR="00724AEF" w:rsidTr="002E05DE">
        <w:trPr>
          <w:trHeight w:val="415"/>
          <w:jc w:val="center"/>
        </w:trPr>
        <w:tc>
          <w:tcPr>
            <w:tcW w:w="3397" w:type="dxa"/>
            <w:shd w:val="clear" w:color="auto" w:fill="D9D9D9" w:themeFill="background1" w:themeFillShade="D9"/>
            <w:vAlign w:val="center"/>
          </w:tcPr>
          <w:p w:rsidR="00724AEF" w:rsidRPr="00724AEF" w:rsidRDefault="00724AEF" w:rsidP="00A60842">
            <w:pPr>
              <w:jc w:val="center"/>
              <w:rPr>
                <w:b/>
              </w:rPr>
            </w:pPr>
            <w:r w:rsidRPr="00724AEF">
              <w:rPr>
                <w:b/>
              </w:rPr>
              <w:t>Category</w:t>
            </w:r>
          </w:p>
        </w:tc>
        <w:tc>
          <w:tcPr>
            <w:tcW w:w="3261" w:type="dxa"/>
            <w:shd w:val="clear" w:color="auto" w:fill="D9D9D9" w:themeFill="background1" w:themeFillShade="D9"/>
            <w:vAlign w:val="center"/>
          </w:tcPr>
          <w:p w:rsidR="00724AEF" w:rsidRPr="00724AEF" w:rsidRDefault="00724AEF" w:rsidP="00A60842">
            <w:pPr>
              <w:jc w:val="center"/>
              <w:rPr>
                <w:b/>
              </w:rPr>
            </w:pPr>
            <w:r w:rsidRPr="00724AEF">
              <w:rPr>
                <w:b/>
              </w:rPr>
              <w:t>Saving</w:t>
            </w:r>
          </w:p>
        </w:tc>
      </w:tr>
      <w:tr w:rsidR="00724AEF" w:rsidTr="009C63C7">
        <w:trPr>
          <w:trHeight w:val="424"/>
          <w:jc w:val="center"/>
        </w:trPr>
        <w:tc>
          <w:tcPr>
            <w:tcW w:w="3397" w:type="dxa"/>
            <w:vAlign w:val="center"/>
          </w:tcPr>
          <w:p w:rsidR="00724AEF" w:rsidRDefault="00724AEF" w:rsidP="00A60842">
            <w:pPr>
              <w:jc w:val="center"/>
            </w:pPr>
            <w:r>
              <w:t>Estimated Greenhouse Gas Saving</w:t>
            </w:r>
          </w:p>
        </w:tc>
        <w:tc>
          <w:tcPr>
            <w:tcW w:w="3261" w:type="dxa"/>
            <w:vAlign w:val="center"/>
          </w:tcPr>
          <w:p w:rsidR="00724AEF" w:rsidRPr="00724AEF" w:rsidRDefault="00E46DE8" w:rsidP="00A60842">
            <w:pPr>
              <w:jc w:val="center"/>
            </w:pPr>
            <w:r>
              <w:t>65</w:t>
            </w:r>
            <w:r w:rsidR="00724AEF">
              <w:t xml:space="preserve"> tonnes of CO</w:t>
            </w:r>
            <w:r w:rsidR="00724AEF">
              <w:rPr>
                <w:vertAlign w:val="subscript"/>
              </w:rPr>
              <w:t>2</w:t>
            </w:r>
            <w:r w:rsidR="00724AEF">
              <w:t xml:space="preserve"> equivalent</w:t>
            </w:r>
          </w:p>
        </w:tc>
      </w:tr>
      <w:tr w:rsidR="00724AEF" w:rsidTr="009C63C7">
        <w:trPr>
          <w:trHeight w:val="417"/>
          <w:jc w:val="center"/>
        </w:trPr>
        <w:tc>
          <w:tcPr>
            <w:tcW w:w="3397" w:type="dxa"/>
            <w:vAlign w:val="center"/>
          </w:tcPr>
          <w:p w:rsidR="00724AEF" w:rsidRDefault="00724AEF" w:rsidP="00A60842">
            <w:pPr>
              <w:jc w:val="center"/>
            </w:pPr>
            <w:r>
              <w:t>Estimated Financial Saving</w:t>
            </w:r>
          </w:p>
        </w:tc>
        <w:tc>
          <w:tcPr>
            <w:tcW w:w="3261" w:type="dxa"/>
            <w:vAlign w:val="center"/>
          </w:tcPr>
          <w:p w:rsidR="00724AEF" w:rsidRDefault="00E46DE8" w:rsidP="00A60842">
            <w:pPr>
              <w:jc w:val="center"/>
            </w:pPr>
            <w:r>
              <w:t>$6,614</w:t>
            </w:r>
          </w:p>
        </w:tc>
      </w:tr>
    </w:tbl>
    <w:p w:rsidR="00107A86" w:rsidRPr="00107A86" w:rsidRDefault="00107A86" w:rsidP="00107A86">
      <w:pPr>
        <w:pStyle w:val="Heading1"/>
        <w:rPr>
          <w:b/>
          <w:sz w:val="28"/>
          <w:szCs w:val="28"/>
        </w:rPr>
      </w:pPr>
      <w:r w:rsidRPr="002E05DE">
        <w:rPr>
          <w:b/>
          <w:sz w:val="28"/>
          <w:szCs w:val="28"/>
        </w:rPr>
        <w:t>R</w:t>
      </w:r>
      <w:r>
        <w:rPr>
          <w:b/>
          <w:sz w:val="28"/>
          <w:szCs w:val="28"/>
        </w:rPr>
        <w:t>ecommendations</w:t>
      </w:r>
    </w:p>
    <w:p w:rsidR="00724AEF" w:rsidRDefault="004971C2" w:rsidP="00724AEF">
      <w:r>
        <w:t>R</w:t>
      </w:r>
      <w:r w:rsidR="001F204F">
        <w:t>ecommendations have been</w:t>
      </w:r>
      <w:r w:rsidR="00724AEF">
        <w:t xml:space="preserve"> made to</w:t>
      </w:r>
      <w:r w:rsidR="00107A86">
        <w:t xml:space="preserve"> building occupants to</w:t>
      </w:r>
      <w:r w:rsidR="00724AEF">
        <w:t xml:space="preserve"> further i</w:t>
      </w:r>
      <w:r w:rsidR="001F204F">
        <w:t>mprove</w:t>
      </w:r>
      <w:r>
        <w:t xml:space="preserve"> energy saving</w:t>
      </w:r>
      <w:r w:rsidR="001F204F">
        <w:t>s, these included but not limited to the following</w:t>
      </w:r>
      <w:r w:rsidR="00724AEF">
        <w:t>:</w:t>
      </w:r>
      <w:r w:rsidR="001F204F">
        <w:t>-</w:t>
      </w:r>
    </w:p>
    <w:p w:rsidR="004E2B9F" w:rsidRPr="0052758D" w:rsidRDefault="004E2B9F" w:rsidP="001F204F">
      <w:r w:rsidRPr="001F204F">
        <w:rPr>
          <w:b/>
        </w:rPr>
        <w:t xml:space="preserve">Tenant </w:t>
      </w:r>
      <w:r w:rsidR="0052758D" w:rsidRPr="001F204F">
        <w:rPr>
          <w:b/>
        </w:rPr>
        <w:t xml:space="preserve">operated </w:t>
      </w:r>
      <w:r w:rsidRPr="001F204F">
        <w:rPr>
          <w:b/>
        </w:rPr>
        <w:t>equipment:</w:t>
      </w:r>
      <w:r>
        <w:t xml:space="preserve">  </w:t>
      </w:r>
    </w:p>
    <w:p w:rsidR="0052758D" w:rsidRDefault="0052758D" w:rsidP="001F204F">
      <w:pPr>
        <w:pStyle w:val="ListParagraph"/>
        <w:numPr>
          <w:ilvl w:val="0"/>
          <w:numId w:val="4"/>
        </w:numPr>
      </w:pPr>
      <w:r w:rsidRPr="0052758D">
        <w:t>Turn</w:t>
      </w:r>
      <w:r w:rsidR="00322497">
        <w:rPr>
          <w:b/>
        </w:rPr>
        <w:t xml:space="preserve"> </w:t>
      </w:r>
      <w:r w:rsidR="00322497">
        <w:t xml:space="preserve">off computers, </w:t>
      </w:r>
      <w:r>
        <w:t>prin</w:t>
      </w:r>
      <w:r w:rsidR="00DE6932">
        <w:t>ters</w:t>
      </w:r>
      <w:r w:rsidR="00322497">
        <w:t xml:space="preserve"> and other MFD’s</w:t>
      </w:r>
      <w:r w:rsidR="00DE6932">
        <w:t xml:space="preserve"> at the powe</w:t>
      </w:r>
      <w:r w:rsidR="00A71D36">
        <w:t>r point when equipment not used.</w:t>
      </w:r>
    </w:p>
    <w:p w:rsidR="003A1060" w:rsidRDefault="00581ABB" w:rsidP="003A1060">
      <w:pPr>
        <w:pStyle w:val="ListParagraph"/>
        <w:numPr>
          <w:ilvl w:val="0"/>
          <w:numId w:val="4"/>
        </w:numPr>
      </w:pPr>
      <w:r>
        <w:t>Use of i</w:t>
      </w:r>
      <w:r w:rsidR="003A1060">
        <w:t>nkjet pr</w:t>
      </w:r>
      <w:r>
        <w:t>inters</w:t>
      </w:r>
      <w:r w:rsidR="003A1060">
        <w:t xml:space="preserve"> over laser printers inkjet printers.  Tenants encouraged also to </w:t>
      </w:r>
      <w:r w:rsidR="003A1060" w:rsidRPr="003A1060">
        <w:t>‘</w:t>
      </w:r>
      <w:r w:rsidR="003A1060">
        <w:t>T</w:t>
      </w:r>
      <w:r w:rsidR="003A1060" w:rsidRPr="003A1060">
        <w:t>hink before you print’.</w:t>
      </w:r>
      <w:r w:rsidR="003A1060">
        <w:t xml:space="preserve">  </w:t>
      </w:r>
    </w:p>
    <w:p w:rsidR="009839D3" w:rsidRDefault="00322497" w:rsidP="001F204F">
      <w:pPr>
        <w:pStyle w:val="ListParagraph"/>
        <w:numPr>
          <w:ilvl w:val="0"/>
          <w:numId w:val="4"/>
        </w:numPr>
      </w:pPr>
      <w:r>
        <w:t>Use of laptop or note book computers over standard PC operating systems.</w:t>
      </w:r>
    </w:p>
    <w:p w:rsidR="001F204F" w:rsidRDefault="004E2B9F" w:rsidP="001F204F">
      <w:r w:rsidRPr="001F204F">
        <w:rPr>
          <w:b/>
        </w:rPr>
        <w:t xml:space="preserve">Boiler </w:t>
      </w:r>
      <w:r w:rsidR="00612CC5" w:rsidRPr="001F204F">
        <w:rPr>
          <w:b/>
        </w:rPr>
        <w:t>and Heating Operating Systems</w:t>
      </w:r>
      <w:r w:rsidRPr="001F204F">
        <w:rPr>
          <w:b/>
        </w:rPr>
        <w:t>:</w:t>
      </w:r>
      <w:r>
        <w:t xml:space="preserve"> </w:t>
      </w:r>
    </w:p>
    <w:p w:rsidR="001D72CC" w:rsidRPr="004E2B9F" w:rsidRDefault="00612CC5" w:rsidP="001F204F">
      <w:r w:rsidRPr="001F204F">
        <w:t xml:space="preserve">It is a building manager’s responsibility to ensure that temperature set points are programmed accordingly for each site and do not exceed the recommended settings.  Building heating schedules are carefully considered to meet the energy </w:t>
      </w:r>
      <w:r w:rsidR="00823DB8">
        <w:t xml:space="preserve">efficiency requirements/targets </w:t>
      </w:r>
      <w:r w:rsidRPr="001F204F">
        <w:t>whilst at the same time factoring in individual tena</w:t>
      </w:r>
      <w:r w:rsidR="00823DB8">
        <w:t>nt operating hours</w:t>
      </w:r>
      <w:r w:rsidRPr="001F204F">
        <w:t>.  Building systems and equipment are maintained and serviced at the required int</w:t>
      </w:r>
      <w:r w:rsidR="00823DB8">
        <w:t xml:space="preserve">ervals to ensure optimum and </w:t>
      </w:r>
      <w:r w:rsidR="00140C05">
        <w:t>efficient</w:t>
      </w:r>
      <w:r w:rsidR="00823DB8">
        <w:t xml:space="preserve"> operation</w:t>
      </w:r>
      <w:r w:rsidRPr="001F204F">
        <w:t>.</w:t>
      </w:r>
    </w:p>
    <w:sectPr w:rsidR="001D72CC" w:rsidRPr="004E2B9F" w:rsidSect="001F204F">
      <w:headerReference w:type="default" r:id="rId8"/>
      <w:footerReference w:type="default" r:id="rId9"/>
      <w:pgSz w:w="11906" w:h="16838"/>
      <w:pgMar w:top="1440" w:right="1440" w:bottom="70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FF5" w:rsidRDefault="00EA1FF5" w:rsidP="00A60842">
      <w:pPr>
        <w:spacing w:after="0" w:line="240" w:lineRule="auto"/>
      </w:pPr>
      <w:r>
        <w:separator/>
      </w:r>
    </w:p>
  </w:endnote>
  <w:endnote w:type="continuationSeparator" w:id="0">
    <w:p w:rsidR="00EA1FF5" w:rsidRDefault="00EA1FF5" w:rsidP="00A6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3C7" w:rsidRDefault="009C63C7" w:rsidP="00A60842">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FF5" w:rsidRDefault="00EA1FF5" w:rsidP="00A60842">
      <w:pPr>
        <w:spacing w:after="0" w:line="240" w:lineRule="auto"/>
      </w:pPr>
      <w:r>
        <w:separator/>
      </w:r>
    </w:p>
  </w:footnote>
  <w:footnote w:type="continuationSeparator" w:id="0">
    <w:p w:rsidR="00EA1FF5" w:rsidRDefault="00EA1FF5" w:rsidP="00A6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3C7" w:rsidRDefault="009C63C7" w:rsidP="00A60842">
    <w:pPr>
      <w:pStyle w:val="Header"/>
    </w:pPr>
    <w:r>
      <w:rPr>
        <w:noProof/>
        <w:color w:val="FF0000"/>
        <w:lang w:eastAsia="en-AU"/>
      </w:rPr>
      <w:drawing>
        <wp:inline distT="0" distB="0" distL="0" distR="0">
          <wp:extent cx="2001520" cy="758825"/>
          <wp:effectExtent l="0" t="0" r="0" b="3175"/>
          <wp:docPr id="2" name="Picture 2" descr="ACT Government &#10;Demartment of Cheif Minister, Treasury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Mudie\Documents\CEEP\header.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1520" cy="758825"/>
                  </a:xfrm>
                  <a:prstGeom prst="rect">
                    <a:avLst/>
                  </a:prstGeom>
                  <a:noFill/>
                  <a:ln>
                    <a:noFill/>
                  </a:ln>
                </pic:spPr>
              </pic:pic>
            </a:graphicData>
          </a:graphic>
        </wp:inline>
      </w:drawing>
    </w:r>
    <w:r>
      <w:tab/>
    </w:r>
    <w:r>
      <w:tab/>
    </w:r>
    <w:r>
      <w:rPr>
        <w:noProof/>
        <w:lang w:eastAsia="en-AU"/>
      </w:rPr>
      <w:drawing>
        <wp:inline distT="0" distB="0" distL="0" distR="0">
          <wp:extent cx="2095200" cy="759600"/>
          <wp:effectExtent l="0" t="0" r="635" b="2540"/>
          <wp:docPr id="7" name="Picture 7" descr="Energy Action L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y Action RGB.pn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5200" cy="759600"/>
                  </a:xfrm>
                  <a:prstGeom prst="rect">
                    <a:avLst/>
                  </a:prstGeom>
                </pic:spPr>
              </pic:pic>
            </a:graphicData>
          </a:graphic>
        </wp:inline>
      </w:drawing>
    </w:r>
  </w:p>
  <w:p w:rsidR="009C63C7" w:rsidRDefault="009C63C7" w:rsidP="00A6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C7CE2"/>
    <w:multiLevelType w:val="hybridMultilevel"/>
    <w:tmpl w:val="80A809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A5339BB"/>
    <w:multiLevelType w:val="hybridMultilevel"/>
    <w:tmpl w:val="0C624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F6E2F6B"/>
    <w:multiLevelType w:val="hybridMultilevel"/>
    <w:tmpl w:val="E63ABCE2"/>
    <w:lvl w:ilvl="0" w:tplc="0C090003">
      <w:start w:val="1"/>
      <w:numFmt w:val="bullet"/>
      <w:lvlText w:val="o"/>
      <w:lvlJc w:val="left"/>
      <w:pPr>
        <w:ind w:left="2160" w:hanging="360"/>
      </w:pPr>
      <w:rPr>
        <w:rFonts w:ascii="Courier New" w:hAnsi="Courier New" w:cs="Courier New"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51211C86"/>
    <w:multiLevelType w:val="hybridMultilevel"/>
    <w:tmpl w:val="F8AA34F6"/>
    <w:lvl w:ilvl="0" w:tplc="1DFCD22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rsids>
    <w:rsidRoot w:val="008D6097"/>
    <w:rsid w:val="000C795A"/>
    <w:rsid w:val="00107A86"/>
    <w:rsid w:val="001269FA"/>
    <w:rsid w:val="00140C05"/>
    <w:rsid w:val="001C23FC"/>
    <w:rsid w:val="001D72CC"/>
    <w:rsid w:val="001F204F"/>
    <w:rsid w:val="00206702"/>
    <w:rsid w:val="0027795E"/>
    <w:rsid w:val="002E05DE"/>
    <w:rsid w:val="00322497"/>
    <w:rsid w:val="003A1060"/>
    <w:rsid w:val="004971C2"/>
    <w:rsid w:val="004E2B9F"/>
    <w:rsid w:val="0052758D"/>
    <w:rsid w:val="00581ABB"/>
    <w:rsid w:val="005F0B71"/>
    <w:rsid w:val="00612CC5"/>
    <w:rsid w:val="006A77D6"/>
    <w:rsid w:val="007249BF"/>
    <w:rsid w:val="00724AEF"/>
    <w:rsid w:val="00745FC1"/>
    <w:rsid w:val="007C64A4"/>
    <w:rsid w:val="007F4723"/>
    <w:rsid w:val="00822476"/>
    <w:rsid w:val="00823DB8"/>
    <w:rsid w:val="008D6097"/>
    <w:rsid w:val="00965E04"/>
    <w:rsid w:val="009839D3"/>
    <w:rsid w:val="00990EFB"/>
    <w:rsid w:val="009C63C7"/>
    <w:rsid w:val="009E058C"/>
    <w:rsid w:val="00A34E29"/>
    <w:rsid w:val="00A3662A"/>
    <w:rsid w:val="00A60842"/>
    <w:rsid w:val="00A71D36"/>
    <w:rsid w:val="00CA5F5F"/>
    <w:rsid w:val="00CD009F"/>
    <w:rsid w:val="00D633F6"/>
    <w:rsid w:val="00DE6932"/>
    <w:rsid w:val="00E24F3C"/>
    <w:rsid w:val="00E46DE8"/>
    <w:rsid w:val="00E575A9"/>
    <w:rsid w:val="00EA1FF5"/>
    <w:rsid w:val="00EE06E6"/>
    <w:rsid w:val="00F34F4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9FA"/>
  </w:style>
  <w:style w:type="paragraph" w:styleId="Heading1">
    <w:name w:val="heading 1"/>
    <w:basedOn w:val="Normal"/>
    <w:next w:val="Normal"/>
    <w:link w:val="Heading1Char"/>
    <w:uiPriority w:val="9"/>
    <w:qFormat/>
    <w:rsid w:val="00CD00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00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00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009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D009F"/>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CD009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D00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24AEF"/>
    <w:pPr>
      <w:spacing w:after="200" w:line="240" w:lineRule="auto"/>
    </w:pPr>
    <w:rPr>
      <w:i/>
      <w:iCs/>
      <w:color w:val="44546A" w:themeColor="text2"/>
      <w:sz w:val="18"/>
      <w:szCs w:val="18"/>
    </w:rPr>
  </w:style>
  <w:style w:type="paragraph" w:styleId="ListParagraph">
    <w:name w:val="List Paragraph"/>
    <w:basedOn w:val="Normal"/>
    <w:uiPriority w:val="34"/>
    <w:qFormat/>
    <w:rsid w:val="00724AEF"/>
    <w:pPr>
      <w:ind w:left="720"/>
      <w:contextualSpacing/>
    </w:pPr>
  </w:style>
  <w:style w:type="paragraph" w:styleId="Header">
    <w:name w:val="header"/>
    <w:basedOn w:val="Normal"/>
    <w:link w:val="HeaderChar"/>
    <w:uiPriority w:val="99"/>
    <w:unhideWhenUsed/>
    <w:rsid w:val="00A608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0842"/>
  </w:style>
  <w:style w:type="paragraph" w:styleId="Footer">
    <w:name w:val="footer"/>
    <w:basedOn w:val="Normal"/>
    <w:link w:val="FooterChar"/>
    <w:uiPriority w:val="99"/>
    <w:unhideWhenUsed/>
    <w:rsid w:val="00A608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0842"/>
  </w:style>
  <w:style w:type="character" w:styleId="Hyperlink">
    <w:name w:val="Hyperlink"/>
    <w:basedOn w:val="DefaultParagraphFont"/>
    <w:uiPriority w:val="99"/>
    <w:unhideWhenUsed/>
    <w:rsid w:val="00A60842"/>
    <w:rPr>
      <w:color w:val="0563C1" w:themeColor="hyperlink"/>
      <w:u w:val="single"/>
    </w:rPr>
  </w:style>
  <w:style w:type="paragraph" w:styleId="BalloonText">
    <w:name w:val="Balloon Text"/>
    <w:basedOn w:val="Normal"/>
    <w:link w:val="BalloonTextChar"/>
    <w:uiPriority w:val="99"/>
    <w:semiHidden/>
    <w:unhideWhenUsed/>
    <w:rsid w:val="005F0B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B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52BCC7-B531-4281-80FE-497BC7BAE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320</Words>
  <Characters>1760</Characters>
  <Application>Microsoft Office Word</Application>
  <DocSecurity>0</DocSecurity>
  <Lines>50</Lines>
  <Paragraphs>40</Paragraphs>
  <ScaleCrop>false</ScaleCrop>
  <HeadingPairs>
    <vt:vector size="2" baseType="variant">
      <vt:variant>
        <vt:lpstr>Title</vt:lpstr>
      </vt:variant>
      <vt:variant>
        <vt:i4>1</vt:i4>
      </vt:variant>
    </vt:vector>
  </HeadingPairs>
  <TitlesOfParts>
    <vt:vector size="1" baseType="lpstr">
      <vt:lpstr>Cook Community Hub</vt:lpstr>
    </vt:vector>
  </TitlesOfParts>
  <Company>Energy Action Ltd</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 Community Hub</dc:title>
  <dc:subject>Quarterly Energy Report 2</dc:subject>
  <dc:creator>James SPEARS</dc:creator>
  <cp:keywords>06093-F</cp:keywords>
  <dc:description>Summary Report</dc:description>
  <cp:lastModifiedBy>anne mckevett</cp:lastModifiedBy>
  <cp:revision>2</cp:revision>
  <cp:lastPrinted>2015-05-13T06:03:00Z</cp:lastPrinted>
  <dcterms:created xsi:type="dcterms:W3CDTF">2015-05-22T07:10:00Z</dcterms:created>
  <dcterms:modified xsi:type="dcterms:W3CDTF">2015-05-22T07:10:00Z</dcterms:modified>
  <cp:category>CEEP</cp:category>
  <cp:contentStatus>For Issue</cp:contentStatus>
</cp:coreProperties>
</file>