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CFDF6" w14:textId="77777777" w:rsidR="007F794C" w:rsidRDefault="007F794C">
      <w:r>
        <w:rPr>
          <w:noProof/>
        </w:rPr>
        <w:drawing>
          <wp:anchor distT="0" distB="0" distL="114300" distR="114300" simplePos="0" relativeHeight="251662336" behindDoc="1" locked="0" layoutInCell="1" allowOverlap="1" wp14:anchorId="6BA60D74" wp14:editId="62906BC0">
            <wp:simplePos x="0" y="0"/>
            <wp:positionH relativeFrom="page">
              <wp:posOffset>-11069</wp:posOffset>
            </wp:positionH>
            <wp:positionV relativeFrom="page">
              <wp:posOffset>-38100</wp:posOffset>
            </wp:positionV>
            <wp:extent cx="7619913" cy="10778490"/>
            <wp:effectExtent l="0" t="0" r="635" b="3810"/>
            <wp:wrapNone/>
            <wp:docPr id="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flipV="1">
                      <a:off x="0" y="0"/>
                      <a:ext cx="7619913" cy="10778490"/>
                    </a:xfrm>
                    <a:prstGeom prst="rect">
                      <a:avLst/>
                    </a:prstGeom>
                    <a:noFill/>
                  </pic:spPr>
                </pic:pic>
              </a:graphicData>
            </a:graphic>
          </wp:anchor>
        </w:drawing>
      </w:r>
      <w:r>
        <w:rPr>
          <w:noProof/>
        </w:rPr>
        <w:drawing>
          <wp:anchor distT="0" distB="0" distL="114300" distR="114300" simplePos="0" relativeHeight="251659264" behindDoc="0" locked="0" layoutInCell="1" allowOverlap="1" wp14:anchorId="440E1A4E" wp14:editId="2AEB01A6">
            <wp:simplePos x="0" y="0"/>
            <wp:positionH relativeFrom="margin">
              <wp:posOffset>0</wp:posOffset>
            </wp:positionH>
            <wp:positionV relativeFrom="page">
              <wp:posOffset>1440180</wp:posOffset>
            </wp:positionV>
            <wp:extent cx="1413510" cy="723265"/>
            <wp:effectExtent l="19050" t="0" r="0" b="0"/>
            <wp:wrapSquare wrapText="bothSides"/>
            <wp:docPr id="7" name="Picture 4" descr="ACT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12" cstate="print"/>
                    <a:srcRect/>
                    <a:stretch>
                      <a:fillRect/>
                    </a:stretch>
                  </pic:blipFill>
                  <pic:spPr bwMode="auto">
                    <a:xfrm>
                      <a:off x="0" y="0"/>
                      <a:ext cx="1413510" cy="723265"/>
                    </a:xfrm>
                    <a:prstGeom prst="rect">
                      <a:avLst/>
                    </a:prstGeom>
                    <a:noFill/>
                  </pic:spPr>
                </pic:pic>
              </a:graphicData>
            </a:graphic>
          </wp:anchor>
        </w:drawing>
      </w:r>
    </w:p>
    <w:sdt>
      <w:sdtPr>
        <w:id w:val="440470352"/>
        <w:docPartObj>
          <w:docPartGallery w:val="Cover Pages"/>
          <w:docPartUnique/>
        </w:docPartObj>
      </w:sdtPr>
      <w:sdtEndPr>
        <w:rPr>
          <w:rFonts w:asciiTheme="majorHAnsi" w:eastAsia="Times New Roman" w:hAnsiTheme="majorHAnsi"/>
          <w:caps/>
          <w:noProof/>
          <w:color w:val="E7E6E6" w:themeColor="background2"/>
          <w:sz w:val="36"/>
          <w:szCs w:val="40"/>
        </w:rPr>
      </w:sdtEndPr>
      <w:sdtContent>
        <w:p w14:paraId="58D7792B" w14:textId="77777777" w:rsidR="007F794C" w:rsidRDefault="007F794C"/>
        <w:p w14:paraId="5D50464E" w14:textId="5874B1EA" w:rsidR="007F794C" w:rsidRDefault="007F794C">
          <w:pPr>
            <w:spacing w:line="276" w:lineRule="auto"/>
            <w:rPr>
              <w:rFonts w:asciiTheme="majorHAnsi" w:eastAsia="Times New Roman" w:hAnsiTheme="majorHAnsi"/>
              <w:caps/>
              <w:noProof/>
              <w:color w:val="E7E6E6" w:themeColor="background2"/>
              <w:sz w:val="36"/>
              <w:szCs w:val="40"/>
            </w:rPr>
          </w:pPr>
          <w:r>
            <w:rPr>
              <w:rFonts w:asciiTheme="majorHAnsi" w:eastAsia="Times New Roman" w:hAnsiTheme="majorHAnsi"/>
              <w:caps/>
              <w:noProof/>
              <w:color w:val="E7E6E6" w:themeColor="background2"/>
              <w:sz w:val="36"/>
              <w:szCs w:val="40"/>
            </w:rPr>
            <mc:AlternateContent>
              <mc:Choice Requires="wps">
                <w:drawing>
                  <wp:anchor distT="0" distB="0" distL="114300" distR="114300" simplePos="0" relativeHeight="251660288" behindDoc="0" locked="0" layoutInCell="1" allowOverlap="1" wp14:anchorId="6C578F1D" wp14:editId="2B0450BC">
                    <wp:simplePos x="0" y="0"/>
                    <wp:positionH relativeFrom="margin">
                      <wp:posOffset>-214630</wp:posOffset>
                    </wp:positionH>
                    <wp:positionV relativeFrom="page">
                      <wp:posOffset>4673600</wp:posOffset>
                    </wp:positionV>
                    <wp:extent cx="3314700" cy="2689225"/>
                    <wp:effectExtent l="0" t="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68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7C5C" w14:textId="77777777" w:rsidR="007F794C" w:rsidRPr="00731AE2" w:rsidRDefault="007F794C" w:rsidP="0089332C">
                                <w:pPr>
                                  <w:pStyle w:val="Title"/>
                                  <w:rPr>
                                    <w:color w:val="FFFFFF"/>
                                  </w:rPr>
                                </w:pPr>
                                <w:r w:rsidRPr="00E36607">
                                  <w:rPr>
                                    <w:color w:val="FFFFFF"/>
                                  </w:rPr>
                                  <w:t>ACT ECONOMIC SURVIVAL AND RECOVERY INITIATIVES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578F1D" id="_x0000_t202" coordsize="21600,21600" o:spt="202" path="m,l,21600r21600,l21600,xe">
                    <v:stroke joinstyle="miter"/>
                    <v:path gradientshapeok="t" o:connecttype="rect"/>
                  </v:shapetype>
                  <v:shape id="Text Box 9" o:spid="_x0000_s1026" type="#_x0000_t202" style="position:absolute;margin-left:-16.9pt;margin-top:368pt;width:261pt;height:211.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" filled="f" stroked="f">
                    <v:textbox>
                      <w:txbxContent>
                        <w:p w14:paraId="10B57C5C" w14:textId="77777777" w:rsidR="007F794C" w:rsidRPr="00731AE2" w:rsidRDefault="007F794C" w:rsidP="0089332C">
                          <w:pPr>
                            <w:pStyle w:val="Title"/>
                            <w:rPr>
                              <w:color w:val="FFFFFF"/>
                            </w:rPr>
                          </w:pPr>
                          <w:r w:rsidRPr="00E36607">
                            <w:rPr>
                              <w:color w:val="FFFFFF"/>
                            </w:rPr>
                            <w:t>ACT ECONOMIC SURVIVAL AND RECOVERY INITIATIVES</w:t>
                          </w:r>
                        </w:p>
                      </w:txbxContent>
                    </v:textbox>
                    <w10:wrap anchorx="margin" anchory="page"/>
                  </v:shape>
                </w:pict>
              </mc:Fallback>
            </mc:AlternateContent>
          </w:r>
        </w:p>
      </w:sdtContent>
    </w:sdt>
    <w:p w14:paraId="7ECC22D3" w14:textId="0FDA5572" w:rsidR="007F794C" w:rsidRDefault="00631C57">
      <w:pPr>
        <w:rPr>
          <w:rFonts w:ascii="Calibri" w:eastAsiaTheme="majorEastAsia" w:hAnsi="Calibri" w:cstheme="majorBidi"/>
          <w:b/>
          <w:caps/>
          <w:kern w:val="28"/>
          <w:sz w:val="36"/>
          <w:szCs w:val="32"/>
        </w:rPr>
      </w:pPr>
      <w:r>
        <w:rPr>
          <w:rFonts w:asciiTheme="majorHAnsi" w:eastAsia="Times New Roman" w:hAnsiTheme="majorHAnsi"/>
          <w:caps/>
          <w:noProof/>
          <w:color w:val="E7E6E6" w:themeColor="background2"/>
          <w:sz w:val="36"/>
          <w:szCs w:val="40"/>
        </w:rPr>
        <mc:AlternateContent>
          <mc:Choice Requires="wps">
            <w:drawing>
              <wp:anchor distT="0" distB="0" distL="114300" distR="114300" simplePos="0" relativeHeight="251661312" behindDoc="0" locked="0" layoutInCell="1" allowOverlap="1" wp14:anchorId="54C9C703" wp14:editId="3D6CB1F4">
                <wp:simplePos x="0" y="0"/>
                <wp:positionH relativeFrom="margin">
                  <wp:posOffset>-214630</wp:posOffset>
                </wp:positionH>
                <wp:positionV relativeFrom="page">
                  <wp:posOffset>7810500</wp:posOffset>
                </wp:positionV>
                <wp:extent cx="2757805" cy="916940"/>
                <wp:effectExtent l="0" t="0" r="0" b="381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805"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65B20" w14:textId="3725A29D" w:rsidR="007F794C" w:rsidRDefault="007F794C" w:rsidP="0089332C">
                            <w:pPr>
                              <w:pStyle w:val="Intro"/>
                              <w:rPr>
                                <w:color w:val="FFFFFF"/>
                              </w:rPr>
                            </w:pPr>
                            <w:bookmarkStart w:id="0" w:name="_GoBack"/>
                            <w:r>
                              <w:rPr>
                                <w:color w:val="FFFFFF"/>
                              </w:rPr>
                              <w:t>ACT Treasurer’s Update</w:t>
                            </w:r>
                          </w:p>
                          <w:p w14:paraId="39DC2B84" w14:textId="1F2E881A" w:rsidR="00631C57" w:rsidRPr="000016B9" w:rsidRDefault="00631C57" w:rsidP="0089332C">
                            <w:pPr>
                              <w:pStyle w:val="Intro"/>
                              <w:rPr>
                                <w:caps/>
                                <w:color w:val="FFFFFF"/>
                              </w:rPr>
                            </w:pPr>
                            <w:r>
                              <w:rPr>
                                <w:color w:val="FFFFFF"/>
                              </w:rPr>
                              <w:t>Chief Minister</w:t>
                            </w:r>
                            <w:r w:rsidR="00D31644">
                              <w:rPr>
                                <w:color w:val="FFFFFF"/>
                              </w:rPr>
                              <w:t>,</w:t>
                            </w:r>
                            <w:r>
                              <w:rPr>
                                <w:color w:val="FFFFFF"/>
                              </w:rPr>
                              <w:t xml:space="preserve"> Treasury and Economic Development Directorate</w:t>
                            </w:r>
                          </w:p>
                          <w:p w14:paraId="73A2A09B" w14:textId="77777777" w:rsidR="007F794C" w:rsidRPr="000016B9" w:rsidRDefault="007F794C" w:rsidP="0089332C">
                            <w:pPr>
                              <w:pStyle w:val="Intro"/>
                              <w:rPr>
                                <w:caps/>
                                <w:color w:val="FFFFFF"/>
                              </w:rPr>
                            </w:pPr>
                            <w:r>
                              <w:rPr>
                                <w:color w:val="FFFFFF"/>
                              </w:rPr>
                              <w:t>June 2020</w:t>
                            </w:r>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C9C703" id="_x0000_t202" coordsize="21600,21600" o:spt="202" path="m,l,21600r21600,l21600,xe">
                <v:stroke joinstyle="miter"/>
                <v:path gradientshapeok="t" o:connecttype="rect"/>
              </v:shapetype>
              <v:shape id="Text Box 10" o:spid="_x0000_s1027" type="#_x0000_t202" style="position:absolute;margin-left:-16.9pt;margin-top:615pt;width:217.15pt;height:72.2pt;z-index:251661312;visibility:visible;mso-wrap-style:square;mso-width-percent:0;mso-height-percent:200;mso-wrap-distance-left:9pt;mso-wrap-distance-top:0;mso-wrap-distance-right:9pt;mso-wrap-distance-bottom:0;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" filled="f" stroked="f">
                <v:textbox style="mso-fit-shape-to-text:t">
                  <w:txbxContent>
                    <w:p w14:paraId="2BC65B20" w14:textId="3725A29D" w:rsidR="007F794C" w:rsidRDefault="007F794C" w:rsidP="0089332C">
                      <w:pPr>
                        <w:pStyle w:val="Intro"/>
                        <w:rPr>
                          <w:color w:val="FFFFFF"/>
                        </w:rPr>
                      </w:pPr>
                      <w:bookmarkStart w:id="1" w:name="_GoBack"/>
                      <w:r>
                        <w:rPr>
                          <w:color w:val="FFFFFF"/>
                        </w:rPr>
                        <w:t>ACT Treasurer’s Update</w:t>
                      </w:r>
                    </w:p>
                    <w:p w14:paraId="39DC2B84" w14:textId="1F2E881A" w:rsidR="00631C57" w:rsidRPr="000016B9" w:rsidRDefault="00631C57" w:rsidP="0089332C">
                      <w:pPr>
                        <w:pStyle w:val="Intro"/>
                        <w:rPr>
                          <w:caps/>
                          <w:color w:val="FFFFFF"/>
                        </w:rPr>
                      </w:pPr>
                      <w:r>
                        <w:rPr>
                          <w:color w:val="FFFFFF"/>
                        </w:rPr>
                        <w:t>Chief Minister</w:t>
                      </w:r>
                      <w:r w:rsidR="00D31644">
                        <w:rPr>
                          <w:color w:val="FFFFFF"/>
                        </w:rPr>
                        <w:t>,</w:t>
                      </w:r>
                      <w:r>
                        <w:rPr>
                          <w:color w:val="FFFFFF"/>
                        </w:rPr>
                        <w:t xml:space="preserve"> Treasury and Economic Development Directorate</w:t>
                      </w:r>
                    </w:p>
                    <w:p w14:paraId="73A2A09B" w14:textId="77777777" w:rsidR="007F794C" w:rsidRPr="000016B9" w:rsidRDefault="007F794C" w:rsidP="0089332C">
                      <w:pPr>
                        <w:pStyle w:val="Intro"/>
                        <w:rPr>
                          <w:caps/>
                          <w:color w:val="FFFFFF"/>
                        </w:rPr>
                      </w:pPr>
                      <w:r>
                        <w:rPr>
                          <w:color w:val="FFFFFF"/>
                        </w:rPr>
                        <w:t>June 2020</w:t>
                      </w:r>
                      <w:bookmarkEnd w:id="1"/>
                    </w:p>
                  </w:txbxContent>
                </v:textbox>
                <w10:wrap anchorx="margin" anchory="page"/>
              </v:shape>
            </w:pict>
          </mc:Fallback>
        </mc:AlternateContent>
      </w:r>
      <w:r w:rsidR="007F794C">
        <w:br w:type="page"/>
      </w:r>
    </w:p>
    <w:p w14:paraId="34D1E659" w14:textId="65FB8FE5" w:rsidR="005A73FB" w:rsidRPr="00973AF7" w:rsidRDefault="005A73FB" w:rsidP="000373C6">
      <w:pPr>
        <w:pStyle w:val="Heading1"/>
      </w:pPr>
      <w:r w:rsidRPr="00973AF7">
        <w:lastRenderedPageBreak/>
        <w:t>JUNE 2020 – ACT TREASURER’S UDPATE</w:t>
      </w:r>
    </w:p>
    <w:p w14:paraId="07CEBC94" w14:textId="5B8BDCA3" w:rsidR="007C2F0D" w:rsidRPr="00973AF7" w:rsidRDefault="00877AFB" w:rsidP="000373C6">
      <w:pPr>
        <w:pStyle w:val="Heading1"/>
      </w:pPr>
      <w:r>
        <w:t>ACT</w:t>
      </w:r>
      <w:r w:rsidRPr="00973AF7">
        <w:t xml:space="preserve"> </w:t>
      </w:r>
      <w:r w:rsidR="00E75E69" w:rsidRPr="00973AF7">
        <w:t xml:space="preserve">ECONOMIC SURVIVAL </w:t>
      </w:r>
      <w:r w:rsidR="005A73FB" w:rsidRPr="00973AF7">
        <w:t xml:space="preserve">AND RECOVERY </w:t>
      </w:r>
      <w:r w:rsidR="00E75E69" w:rsidRPr="00973AF7">
        <w:t>INITIATIVES</w:t>
      </w:r>
    </w:p>
    <w:p w14:paraId="58C678F3" w14:textId="260A02E4" w:rsidR="00D75422" w:rsidRPr="00973AF7" w:rsidRDefault="00D75422" w:rsidP="0030675B">
      <w:pPr>
        <w:spacing w:after="240" w:line="360" w:lineRule="auto"/>
        <w:rPr>
          <w:sz w:val="24"/>
        </w:rPr>
      </w:pPr>
      <w:r w:rsidRPr="00973AF7">
        <w:rPr>
          <w:sz w:val="24"/>
        </w:rPr>
        <w:t xml:space="preserve">In response to COVID-19, the ACT Government has delivered 50 measures with an estimated impact of </w:t>
      </w:r>
      <w:r w:rsidRPr="006617A5">
        <w:rPr>
          <w:sz w:val="24"/>
        </w:rPr>
        <w:t>$3</w:t>
      </w:r>
      <w:r w:rsidR="006617A5" w:rsidRPr="006617A5">
        <w:rPr>
          <w:sz w:val="24"/>
        </w:rPr>
        <w:t>69</w:t>
      </w:r>
      <w:r w:rsidRPr="006617A5">
        <w:rPr>
          <w:sz w:val="24"/>
        </w:rPr>
        <w:t xml:space="preserve"> million</w:t>
      </w:r>
      <w:r w:rsidRPr="00973AF7">
        <w:rPr>
          <w:sz w:val="24"/>
        </w:rPr>
        <w:t xml:space="preserve"> for the </w:t>
      </w:r>
      <w:r w:rsidR="0030675B">
        <w:rPr>
          <w:sz w:val="24"/>
        </w:rPr>
        <w:t>T</w:t>
      </w:r>
      <w:r w:rsidRPr="00973AF7">
        <w:rPr>
          <w:sz w:val="24"/>
        </w:rPr>
        <w:t>erritory as part of our Economic Survival and Recovery plan – a multi-staged and targeted economic response to COVID-19</w:t>
      </w:r>
      <w:r w:rsidR="00473880">
        <w:rPr>
          <w:sz w:val="24"/>
        </w:rPr>
        <w:t xml:space="preserve">. </w:t>
      </w:r>
    </w:p>
    <w:p w14:paraId="5F85D580" w14:textId="77777777" w:rsidR="00D75422" w:rsidRPr="00973AF7" w:rsidRDefault="00D75422" w:rsidP="0030675B">
      <w:pPr>
        <w:keepLines/>
        <w:spacing w:after="240" w:line="360" w:lineRule="auto"/>
        <w:ind w:right="116"/>
        <w:rPr>
          <w:sz w:val="24"/>
        </w:rPr>
      </w:pPr>
      <w:r w:rsidRPr="00973AF7">
        <w:rPr>
          <w:sz w:val="24"/>
        </w:rPr>
        <w:t>The initiatives are presented across the four objectives that have driven our response:</w:t>
      </w:r>
    </w:p>
    <w:p w14:paraId="6FD1E552" w14:textId="77777777" w:rsidR="00D75422" w:rsidRPr="00973AF7" w:rsidRDefault="00D75422" w:rsidP="0030675B">
      <w:pPr>
        <w:pStyle w:val="ListParagraph"/>
        <w:keepLines/>
        <w:numPr>
          <w:ilvl w:val="0"/>
          <w:numId w:val="22"/>
        </w:numPr>
        <w:spacing w:after="240" w:line="360" w:lineRule="auto"/>
        <w:ind w:right="116"/>
        <w:contextualSpacing w:val="0"/>
        <w:rPr>
          <w:sz w:val="24"/>
        </w:rPr>
      </w:pPr>
      <w:r w:rsidRPr="00973AF7">
        <w:rPr>
          <w:sz w:val="24"/>
        </w:rPr>
        <w:t>Supporting local business, jobs and the economy</w:t>
      </w:r>
    </w:p>
    <w:p w14:paraId="62575B72" w14:textId="77777777" w:rsidR="00D75422" w:rsidRPr="00973AF7" w:rsidRDefault="00D75422" w:rsidP="0030675B">
      <w:pPr>
        <w:pStyle w:val="ListParagraph"/>
        <w:keepLines/>
        <w:numPr>
          <w:ilvl w:val="0"/>
          <w:numId w:val="22"/>
        </w:numPr>
        <w:spacing w:after="240" w:line="360" w:lineRule="auto"/>
        <w:ind w:right="116"/>
        <w:contextualSpacing w:val="0"/>
        <w:rPr>
          <w:sz w:val="24"/>
        </w:rPr>
      </w:pPr>
      <w:r w:rsidRPr="00973AF7">
        <w:rPr>
          <w:sz w:val="24"/>
        </w:rPr>
        <w:t>Supporting families and households</w:t>
      </w:r>
    </w:p>
    <w:p w14:paraId="4C5C0A8A" w14:textId="77777777" w:rsidR="00D75422" w:rsidRPr="00973AF7" w:rsidRDefault="00D75422" w:rsidP="0030675B">
      <w:pPr>
        <w:pStyle w:val="ListParagraph"/>
        <w:keepLines/>
        <w:numPr>
          <w:ilvl w:val="0"/>
          <w:numId w:val="22"/>
        </w:numPr>
        <w:spacing w:after="240" w:line="360" w:lineRule="auto"/>
        <w:ind w:right="116"/>
        <w:contextualSpacing w:val="0"/>
        <w:rPr>
          <w:sz w:val="24"/>
        </w:rPr>
      </w:pPr>
      <w:r w:rsidRPr="00973AF7">
        <w:rPr>
          <w:sz w:val="24"/>
        </w:rPr>
        <w:t>Keeping Canberrans employed</w:t>
      </w:r>
    </w:p>
    <w:p w14:paraId="020D4014" w14:textId="77777777" w:rsidR="00D75422" w:rsidRPr="00973AF7" w:rsidRDefault="00D75422" w:rsidP="0030675B">
      <w:pPr>
        <w:pStyle w:val="ListParagraph"/>
        <w:keepLines/>
        <w:numPr>
          <w:ilvl w:val="0"/>
          <w:numId w:val="22"/>
        </w:numPr>
        <w:spacing w:after="240" w:line="360" w:lineRule="auto"/>
        <w:ind w:right="116"/>
        <w:contextualSpacing w:val="0"/>
        <w:rPr>
          <w:sz w:val="24"/>
        </w:rPr>
      </w:pPr>
      <w:r w:rsidRPr="00973AF7">
        <w:rPr>
          <w:sz w:val="24"/>
        </w:rPr>
        <w:t>Supporting the community</w:t>
      </w:r>
    </w:p>
    <w:p w14:paraId="3C60148C" w14:textId="77777777" w:rsidR="0030675B" w:rsidRPr="0030675B" w:rsidRDefault="0030675B" w:rsidP="0030675B">
      <w:pPr>
        <w:keepLines/>
        <w:spacing w:after="240" w:line="360" w:lineRule="auto"/>
        <w:ind w:right="116"/>
        <w:rPr>
          <w:sz w:val="24"/>
        </w:rPr>
      </w:pPr>
      <w:r w:rsidRPr="0030675B">
        <w:rPr>
          <w:sz w:val="24"/>
        </w:rPr>
        <w:t xml:space="preserve">In times of economic contraction, a temporary increase to Government spending is an important and powerful tool. </w:t>
      </w:r>
    </w:p>
    <w:p w14:paraId="797E6381" w14:textId="77777777" w:rsidR="0030675B" w:rsidRPr="0030675B" w:rsidRDefault="0030675B" w:rsidP="0030675B">
      <w:pPr>
        <w:keepLines/>
        <w:spacing w:after="240" w:line="360" w:lineRule="auto"/>
        <w:ind w:right="116"/>
        <w:rPr>
          <w:sz w:val="24"/>
        </w:rPr>
      </w:pPr>
      <w:r w:rsidRPr="0030675B">
        <w:rPr>
          <w:sz w:val="24"/>
        </w:rPr>
        <w:t xml:space="preserve">Governments have a duty now to step up to support and grow the economy. These initiatives demonstrate what our Government has done so far, but there is more to do. We will help shape, create and grow markets in a way that leads to greater job creation. </w:t>
      </w:r>
    </w:p>
    <w:p w14:paraId="37BA3F4A" w14:textId="77777777" w:rsidR="00473880" w:rsidRDefault="00D75422" w:rsidP="0030675B">
      <w:pPr>
        <w:spacing w:after="240" w:line="360" w:lineRule="auto"/>
        <w:rPr>
          <w:sz w:val="24"/>
        </w:rPr>
      </w:pPr>
      <w:r w:rsidRPr="00973AF7">
        <w:rPr>
          <w:sz w:val="24"/>
        </w:rPr>
        <w:t>We have a plan, and we are ready to deliver; creating secure jobs, supporting households, providing essential services and creating the environment for businesses to grow</w:t>
      </w:r>
      <w:r w:rsidR="00473880">
        <w:rPr>
          <w:sz w:val="24"/>
        </w:rPr>
        <w:t xml:space="preserve">. </w:t>
      </w:r>
    </w:p>
    <w:p w14:paraId="3DFC9D79" w14:textId="77777777" w:rsidR="00811444" w:rsidRDefault="00811444" w:rsidP="00043D58">
      <w:pPr>
        <w:pStyle w:val="Caption"/>
        <w:spacing w:before="0" w:after="0"/>
      </w:pPr>
    </w:p>
    <w:p w14:paraId="5E9844A4" w14:textId="77777777" w:rsidR="00811444" w:rsidRDefault="00811444" w:rsidP="00043D58">
      <w:pPr>
        <w:pStyle w:val="Caption"/>
        <w:spacing w:before="0" w:after="0"/>
      </w:pPr>
    </w:p>
    <w:p w14:paraId="72291197" w14:textId="77777777" w:rsidR="00811444" w:rsidRDefault="00811444" w:rsidP="00043D58">
      <w:pPr>
        <w:pStyle w:val="Caption"/>
        <w:spacing w:before="0" w:after="0"/>
      </w:pPr>
    </w:p>
    <w:p w14:paraId="37541954" w14:textId="77777777" w:rsidR="00F56EB5" w:rsidRDefault="00F56EB5">
      <w:pPr>
        <w:rPr>
          <w:b/>
          <w:iCs/>
          <w:szCs w:val="18"/>
        </w:rPr>
      </w:pPr>
      <w:r>
        <w:br w:type="page"/>
      </w:r>
    </w:p>
    <w:p w14:paraId="1D3135CD" w14:textId="7159E07C" w:rsidR="009C357F" w:rsidRDefault="009C357F" w:rsidP="00043D58">
      <w:pPr>
        <w:pStyle w:val="Caption"/>
        <w:spacing w:before="0" w:after="0"/>
      </w:pPr>
      <w:r>
        <w:lastRenderedPageBreak/>
        <w:t xml:space="preserve">Table </w:t>
      </w:r>
      <w:r w:rsidR="00056AE1">
        <w:fldChar w:fldCharType="begin"/>
      </w:r>
      <w:r w:rsidR="00056AE1">
        <w:instrText xml:space="preserve"> SEQ Table \* ARABIC \s 1 </w:instrText>
      </w:r>
      <w:r w:rsidR="00056AE1">
        <w:fldChar w:fldCharType="separate"/>
      </w:r>
      <w:r w:rsidR="00D6541D">
        <w:rPr>
          <w:noProof/>
        </w:rPr>
        <w:t>1</w:t>
      </w:r>
      <w:r w:rsidR="00056AE1">
        <w:rPr>
          <w:noProof/>
        </w:rPr>
        <w:fldChar w:fldCharType="end"/>
      </w:r>
      <w:r>
        <w:t>: Summary of initiatives</w:t>
      </w:r>
    </w:p>
    <w:p w14:paraId="5FCC5B98" w14:textId="77777777" w:rsidR="00811444" w:rsidRPr="00811444" w:rsidRDefault="00811444" w:rsidP="00811444"/>
    <w:tbl>
      <w:tblPr>
        <w:tblW w:w="9974" w:type="dxa"/>
        <w:jc w:val="center"/>
        <w:tblLayout w:type="fixed"/>
        <w:tblCellMar>
          <w:left w:w="30" w:type="dxa"/>
          <w:right w:w="30" w:type="dxa"/>
        </w:tblCellMar>
        <w:tblLook w:val="0000" w:firstRow="0" w:lastRow="0" w:firstColumn="0" w:lastColumn="0" w:noHBand="0" w:noVBand="0"/>
      </w:tblPr>
      <w:tblGrid>
        <w:gridCol w:w="4559"/>
        <w:gridCol w:w="902"/>
        <w:gridCol w:w="902"/>
        <w:gridCol w:w="903"/>
        <w:gridCol w:w="902"/>
        <w:gridCol w:w="903"/>
        <w:gridCol w:w="903"/>
      </w:tblGrid>
      <w:tr w:rsidR="00C72836" w:rsidRPr="00D70D49" w14:paraId="3B443354" w14:textId="77777777" w:rsidTr="009C357F">
        <w:trPr>
          <w:cantSplit/>
          <w:trHeight w:val="227"/>
          <w:tblHeader/>
          <w:jc w:val="center"/>
        </w:trPr>
        <w:tc>
          <w:tcPr>
            <w:tcW w:w="4559" w:type="dxa"/>
            <w:tcBorders>
              <w:top w:val="single" w:sz="4" w:space="0" w:color="auto"/>
              <w:left w:val="nil"/>
              <w:bottom w:val="single" w:sz="4" w:space="0" w:color="auto"/>
              <w:right w:val="nil"/>
            </w:tcBorders>
            <w:shd w:val="clear" w:color="auto" w:fill="auto"/>
            <w:vAlign w:val="center"/>
          </w:tcPr>
          <w:p w14:paraId="1DBB2BDB" w14:textId="4621DF2D" w:rsidR="00C72836" w:rsidRPr="00932AF2" w:rsidRDefault="00020F93" w:rsidP="00043D58">
            <w:pPr>
              <w:pStyle w:val="BStabletextbold"/>
            </w:pPr>
            <w:r>
              <w:t>Summary Table</w:t>
            </w:r>
            <w:r w:rsidR="00062636">
              <w:t xml:space="preserve"> – Budget Impacts</w:t>
            </w:r>
            <w:r w:rsidR="00B85838">
              <w:t xml:space="preserve"> </w:t>
            </w:r>
            <w:r w:rsidR="00B85838" w:rsidRPr="00B85838">
              <w:rPr>
                <w:vertAlign w:val="superscript"/>
              </w:rPr>
              <w:t>1</w:t>
            </w:r>
          </w:p>
        </w:tc>
        <w:tc>
          <w:tcPr>
            <w:tcW w:w="902" w:type="dxa"/>
            <w:tcBorders>
              <w:top w:val="single" w:sz="4" w:space="0" w:color="auto"/>
              <w:left w:val="nil"/>
              <w:bottom w:val="single" w:sz="4" w:space="0" w:color="auto"/>
              <w:right w:val="nil"/>
            </w:tcBorders>
          </w:tcPr>
          <w:p w14:paraId="308E42E8" w14:textId="766852C8" w:rsidR="00C72836" w:rsidRPr="00D70D49" w:rsidRDefault="00C72836" w:rsidP="00043D58">
            <w:pPr>
              <w:pStyle w:val="BStablefiguresbold"/>
            </w:pPr>
          </w:p>
        </w:tc>
        <w:tc>
          <w:tcPr>
            <w:tcW w:w="902" w:type="dxa"/>
            <w:tcBorders>
              <w:top w:val="single" w:sz="4" w:space="0" w:color="auto"/>
              <w:left w:val="nil"/>
              <w:bottom w:val="single" w:sz="4" w:space="0" w:color="auto"/>
              <w:right w:val="nil"/>
            </w:tcBorders>
            <w:shd w:val="clear" w:color="auto" w:fill="auto"/>
            <w:vAlign w:val="bottom"/>
          </w:tcPr>
          <w:p w14:paraId="5CA989A8" w14:textId="77777777" w:rsidR="00C72836" w:rsidRPr="00D70D49" w:rsidRDefault="00C72836" w:rsidP="00043D58">
            <w:pPr>
              <w:pStyle w:val="BStablefiguresbold"/>
            </w:pPr>
            <w:r w:rsidRPr="00D70D49">
              <w:t>2019-20</w:t>
            </w:r>
          </w:p>
          <w:p w14:paraId="6F12E7E4"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vAlign w:val="bottom"/>
          </w:tcPr>
          <w:p w14:paraId="43570B51" w14:textId="77777777" w:rsidR="00C72836" w:rsidRPr="00D70D49" w:rsidRDefault="00C72836" w:rsidP="00043D58">
            <w:pPr>
              <w:pStyle w:val="BStablefiguresbold"/>
            </w:pPr>
            <w:r w:rsidRPr="00D70D49">
              <w:t>2020-21</w:t>
            </w:r>
          </w:p>
          <w:p w14:paraId="7D59F511" w14:textId="77777777" w:rsidR="00C72836" w:rsidRPr="00D70D49" w:rsidRDefault="00C72836" w:rsidP="00043D58">
            <w:pPr>
              <w:pStyle w:val="BStablefiguresbold"/>
            </w:pPr>
            <w:r>
              <w:t>$</w:t>
            </w:r>
            <w:r w:rsidRPr="00D70D49">
              <w:t>’000</w:t>
            </w:r>
          </w:p>
        </w:tc>
        <w:tc>
          <w:tcPr>
            <w:tcW w:w="902" w:type="dxa"/>
            <w:tcBorders>
              <w:top w:val="single" w:sz="4" w:space="0" w:color="auto"/>
              <w:left w:val="nil"/>
              <w:bottom w:val="single" w:sz="4" w:space="0" w:color="auto"/>
              <w:right w:val="nil"/>
            </w:tcBorders>
            <w:shd w:val="clear" w:color="auto" w:fill="auto"/>
            <w:vAlign w:val="bottom"/>
          </w:tcPr>
          <w:p w14:paraId="7F1B9AC9" w14:textId="77777777" w:rsidR="00C72836" w:rsidRPr="00D70D49" w:rsidRDefault="00C72836" w:rsidP="00043D58">
            <w:pPr>
              <w:pStyle w:val="BStablefiguresbold"/>
            </w:pPr>
            <w:r w:rsidRPr="00D70D49">
              <w:t>2021-22</w:t>
            </w:r>
          </w:p>
          <w:p w14:paraId="610E1CE9"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vAlign w:val="bottom"/>
          </w:tcPr>
          <w:p w14:paraId="7577F547" w14:textId="77777777" w:rsidR="00C72836" w:rsidRPr="00D70D49" w:rsidRDefault="00C72836" w:rsidP="00043D58">
            <w:pPr>
              <w:pStyle w:val="BStablefiguresbold"/>
            </w:pPr>
            <w:r w:rsidRPr="00D70D49">
              <w:t>2022-23</w:t>
            </w:r>
          </w:p>
          <w:p w14:paraId="16098E72"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tcPr>
          <w:p w14:paraId="07AA6364" w14:textId="77777777" w:rsidR="00C72836" w:rsidRDefault="00C72836" w:rsidP="00043D58">
            <w:pPr>
              <w:pStyle w:val="BStablefiguresbold"/>
              <w:rPr>
                <w:snapToGrid w:val="0"/>
              </w:rPr>
            </w:pPr>
            <w:r w:rsidRPr="00932AF2">
              <w:rPr>
                <w:snapToGrid w:val="0"/>
              </w:rPr>
              <w:t>Total</w:t>
            </w:r>
          </w:p>
          <w:p w14:paraId="2EB39ABE" w14:textId="77777777" w:rsidR="00C72836" w:rsidRPr="00D70D49" w:rsidRDefault="00C72836" w:rsidP="00043D58">
            <w:pPr>
              <w:pStyle w:val="BStablefiguresbold"/>
              <w:rPr>
                <w:snapToGrid w:val="0"/>
              </w:rPr>
            </w:pPr>
            <w:r>
              <w:rPr>
                <w:snapToGrid w:val="0"/>
              </w:rPr>
              <w:t>$’000</w:t>
            </w:r>
          </w:p>
        </w:tc>
      </w:tr>
      <w:tr w:rsidR="00EC3190" w:rsidRPr="003608CE" w14:paraId="1651F7BF" w14:textId="77777777" w:rsidTr="00062636">
        <w:trPr>
          <w:cantSplit/>
          <w:trHeight w:val="227"/>
          <w:jc w:val="center"/>
        </w:trPr>
        <w:tc>
          <w:tcPr>
            <w:tcW w:w="4559" w:type="dxa"/>
            <w:tcBorders>
              <w:top w:val="single" w:sz="4" w:space="0" w:color="auto"/>
            </w:tcBorders>
            <w:shd w:val="clear" w:color="auto" w:fill="auto"/>
          </w:tcPr>
          <w:p w14:paraId="00B774A2" w14:textId="06730CD7" w:rsidR="00EC3190" w:rsidRPr="003608CE" w:rsidRDefault="00EC3190" w:rsidP="009C357F">
            <w:pPr>
              <w:pStyle w:val="BStabletext"/>
            </w:pPr>
            <w:r>
              <w:t>Expense impact</w:t>
            </w:r>
          </w:p>
        </w:tc>
        <w:tc>
          <w:tcPr>
            <w:tcW w:w="902" w:type="dxa"/>
            <w:tcBorders>
              <w:top w:val="single" w:sz="4" w:space="0" w:color="auto"/>
            </w:tcBorders>
            <w:shd w:val="clear" w:color="auto" w:fill="auto"/>
          </w:tcPr>
          <w:p w14:paraId="19022E71" w14:textId="77777777" w:rsidR="00EC3190" w:rsidRPr="003608CE" w:rsidRDefault="00EC3190" w:rsidP="009C357F">
            <w:pPr>
              <w:pStyle w:val="BStablefigures"/>
            </w:pPr>
          </w:p>
        </w:tc>
        <w:tc>
          <w:tcPr>
            <w:tcW w:w="902" w:type="dxa"/>
            <w:tcBorders>
              <w:top w:val="single" w:sz="4" w:space="0" w:color="auto"/>
              <w:left w:val="nil"/>
              <w:bottom w:val="nil"/>
              <w:right w:val="nil"/>
            </w:tcBorders>
            <w:shd w:val="clear" w:color="auto" w:fill="auto"/>
            <w:vAlign w:val="bottom"/>
          </w:tcPr>
          <w:p w14:paraId="03BC5263" w14:textId="5B6BF256" w:rsidR="00EC3190" w:rsidRPr="003608CE" w:rsidRDefault="00625D93" w:rsidP="009C357F">
            <w:pPr>
              <w:pStyle w:val="BStablefigures"/>
            </w:pPr>
            <w:r>
              <w:t>-</w:t>
            </w:r>
            <w:r w:rsidR="00B85838">
              <w:t>47</w:t>
            </w:r>
            <w:r w:rsidR="00EC3190">
              <w:t>,558</w:t>
            </w:r>
          </w:p>
        </w:tc>
        <w:tc>
          <w:tcPr>
            <w:tcW w:w="903" w:type="dxa"/>
            <w:tcBorders>
              <w:top w:val="single" w:sz="4" w:space="0" w:color="auto"/>
              <w:left w:val="nil"/>
              <w:bottom w:val="nil"/>
              <w:right w:val="nil"/>
            </w:tcBorders>
            <w:shd w:val="clear" w:color="auto" w:fill="auto"/>
            <w:vAlign w:val="bottom"/>
          </w:tcPr>
          <w:p w14:paraId="6AB15AD2" w14:textId="4202FB1C" w:rsidR="00EC3190" w:rsidRPr="003608CE" w:rsidRDefault="00EC3190" w:rsidP="009C357F">
            <w:pPr>
              <w:pStyle w:val="BStablefigures"/>
            </w:pPr>
            <w:r>
              <w:t>-</w:t>
            </w:r>
            <w:r w:rsidR="00027CA3">
              <w:t>39</w:t>
            </w:r>
            <w:r>
              <w:t>,982</w:t>
            </w:r>
          </w:p>
        </w:tc>
        <w:tc>
          <w:tcPr>
            <w:tcW w:w="902" w:type="dxa"/>
            <w:tcBorders>
              <w:top w:val="single" w:sz="4" w:space="0" w:color="auto"/>
              <w:left w:val="nil"/>
              <w:bottom w:val="nil"/>
              <w:right w:val="nil"/>
            </w:tcBorders>
            <w:shd w:val="clear" w:color="auto" w:fill="auto"/>
            <w:vAlign w:val="bottom"/>
          </w:tcPr>
          <w:p w14:paraId="30F60AFC" w14:textId="040292C9" w:rsidR="00EC3190" w:rsidRPr="003608CE" w:rsidRDefault="00EC3190" w:rsidP="009C357F">
            <w:pPr>
              <w:pStyle w:val="BStablefigures"/>
            </w:pPr>
            <w:r>
              <w:t>-2,390</w:t>
            </w:r>
          </w:p>
        </w:tc>
        <w:tc>
          <w:tcPr>
            <w:tcW w:w="903" w:type="dxa"/>
            <w:tcBorders>
              <w:top w:val="single" w:sz="4" w:space="0" w:color="auto"/>
              <w:left w:val="nil"/>
              <w:bottom w:val="nil"/>
              <w:right w:val="nil"/>
            </w:tcBorders>
            <w:shd w:val="clear" w:color="auto" w:fill="auto"/>
            <w:vAlign w:val="bottom"/>
          </w:tcPr>
          <w:p w14:paraId="6A103BDD" w14:textId="30C91A91" w:rsidR="00EC3190" w:rsidRPr="003608CE" w:rsidRDefault="00EC3190" w:rsidP="009C357F">
            <w:pPr>
              <w:pStyle w:val="BStablefigures"/>
            </w:pPr>
            <w:r>
              <w:t>-503</w:t>
            </w:r>
          </w:p>
        </w:tc>
        <w:tc>
          <w:tcPr>
            <w:tcW w:w="903" w:type="dxa"/>
            <w:tcBorders>
              <w:top w:val="single" w:sz="4" w:space="0" w:color="auto"/>
              <w:left w:val="nil"/>
              <w:bottom w:val="nil"/>
              <w:right w:val="nil"/>
            </w:tcBorders>
            <w:shd w:val="clear" w:color="auto" w:fill="auto"/>
            <w:vAlign w:val="bottom"/>
          </w:tcPr>
          <w:p w14:paraId="0BD570B8" w14:textId="3D7ADE80" w:rsidR="00EC3190" w:rsidRPr="009C357F" w:rsidRDefault="00EC3190" w:rsidP="009C357F">
            <w:pPr>
              <w:pStyle w:val="BStablefigures"/>
            </w:pPr>
            <w:r w:rsidRPr="009C357F">
              <w:t>-216,433</w:t>
            </w:r>
          </w:p>
        </w:tc>
      </w:tr>
      <w:tr w:rsidR="00EC3190" w:rsidRPr="003608CE" w14:paraId="6200974D" w14:textId="77777777" w:rsidTr="00062636">
        <w:trPr>
          <w:cantSplit/>
          <w:trHeight w:val="227"/>
          <w:jc w:val="center"/>
        </w:trPr>
        <w:tc>
          <w:tcPr>
            <w:tcW w:w="4559" w:type="dxa"/>
            <w:tcBorders>
              <w:bottom w:val="single" w:sz="4" w:space="0" w:color="auto"/>
            </w:tcBorders>
            <w:shd w:val="clear" w:color="auto" w:fill="auto"/>
          </w:tcPr>
          <w:p w14:paraId="619A1701" w14:textId="4E764428" w:rsidR="00EC3190" w:rsidRPr="003608CE" w:rsidRDefault="00EC3190" w:rsidP="009C357F">
            <w:pPr>
              <w:pStyle w:val="BStabletext"/>
            </w:pPr>
            <w:r>
              <w:t>Revenue impact</w:t>
            </w:r>
          </w:p>
        </w:tc>
        <w:tc>
          <w:tcPr>
            <w:tcW w:w="902" w:type="dxa"/>
            <w:tcBorders>
              <w:bottom w:val="single" w:sz="4" w:space="0" w:color="auto"/>
            </w:tcBorders>
            <w:shd w:val="clear" w:color="auto" w:fill="auto"/>
          </w:tcPr>
          <w:p w14:paraId="6F71592D" w14:textId="77777777" w:rsidR="00EC3190" w:rsidRPr="003608CE" w:rsidRDefault="00EC3190" w:rsidP="009C357F">
            <w:pPr>
              <w:pStyle w:val="BStablefigures"/>
            </w:pPr>
          </w:p>
        </w:tc>
        <w:tc>
          <w:tcPr>
            <w:tcW w:w="902" w:type="dxa"/>
            <w:tcBorders>
              <w:top w:val="nil"/>
              <w:left w:val="nil"/>
              <w:bottom w:val="single" w:sz="4" w:space="0" w:color="auto"/>
              <w:right w:val="nil"/>
            </w:tcBorders>
            <w:shd w:val="clear" w:color="auto" w:fill="auto"/>
            <w:vAlign w:val="bottom"/>
          </w:tcPr>
          <w:p w14:paraId="6A770F0D" w14:textId="64D9F634" w:rsidR="00EC3190" w:rsidRPr="003608CE" w:rsidRDefault="00625D93" w:rsidP="009C357F">
            <w:pPr>
              <w:pStyle w:val="BStablefigures"/>
            </w:pPr>
            <w:r>
              <w:t>-</w:t>
            </w:r>
            <w:r w:rsidR="00EC3190">
              <w:t>36,984</w:t>
            </w:r>
          </w:p>
        </w:tc>
        <w:tc>
          <w:tcPr>
            <w:tcW w:w="903" w:type="dxa"/>
            <w:tcBorders>
              <w:top w:val="nil"/>
              <w:left w:val="nil"/>
              <w:bottom w:val="single" w:sz="4" w:space="0" w:color="auto"/>
              <w:right w:val="nil"/>
            </w:tcBorders>
            <w:shd w:val="clear" w:color="auto" w:fill="auto"/>
            <w:vAlign w:val="bottom"/>
          </w:tcPr>
          <w:p w14:paraId="748961BA" w14:textId="346CB5A6" w:rsidR="00EC3190" w:rsidRPr="003608CE" w:rsidRDefault="00EC3190" w:rsidP="009C357F">
            <w:pPr>
              <w:pStyle w:val="BStablefigures"/>
            </w:pPr>
            <w:r>
              <w:t>-80,489</w:t>
            </w:r>
          </w:p>
        </w:tc>
        <w:tc>
          <w:tcPr>
            <w:tcW w:w="902" w:type="dxa"/>
            <w:tcBorders>
              <w:top w:val="nil"/>
              <w:left w:val="nil"/>
              <w:bottom w:val="single" w:sz="4" w:space="0" w:color="auto"/>
              <w:right w:val="nil"/>
            </w:tcBorders>
            <w:shd w:val="clear" w:color="auto" w:fill="auto"/>
            <w:vAlign w:val="bottom"/>
          </w:tcPr>
          <w:p w14:paraId="55770E03" w14:textId="71C5E09D" w:rsidR="00EC3190" w:rsidRPr="003608CE" w:rsidRDefault="00EC3190" w:rsidP="009C357F">
            <w:pPr>
              <w:pStyle w:val="BStablefigures"/>
            </w:pPr>
            <w:r>
              <w:t>-11,027</w:t>
            </w:r>
          </w:p>
        </w:tc>
        <w:tc>
          <w:tcPr>
            <w:tcW w:w="903" w:type="dxa"/>
            <w:tcBorders>
              <w:top w:val="nil"/>
              <w:left w:val="nil"/>
              <w:bottom w:val="single" w:sz="4" w:space="0" w:color="auto"/>
              <w:right w:val="nil"/>
            </w:tcBorders>
            <w:shd w:val="clear" w:color="auto" w:fill="auto"/>
            <w:vAlign w:val="bottom"/>
          </w:tcPr>
          <w:p w14:paraId="5361633A" w14:textId="2E0D0AA3" w:rsidR="00EC3190" w:rsidRPr="003608CE" w:rsidRDefault="00EC3190" w:rsidP="009C357F">
            <w:pPr>
              <w:pStyle w:val="BStablefigures"/>
            </w:pPr>
            <w:r>
              <w:t>-24,004</w:t>
            </w:r>
          </w:p>
        </w:tc>
        <w:tc>
          <w:tcPr>
            <w:tcW w:w="903" w:type="dxa"/>
            <w:tcBorders>
              <w:top w:val="nil"/>
              <w:left w:val="nil"/>
              <w:bottom w:val="single" w:sz="4" w:space="0" w:color="auto"/>
              <w:right w:val="nil"/>
            </w:tcBorders>
            <w:shd w:val="clear" w:color="auto" w:fill="auto"/>
            <w:vAlign w:val="bottom"/>
          </w:tcPr>
          <w:p w14:paraId="5A28959D" w14:textId="2DB6B755" w:rsidR="00EC3190" w:rsidRPr="009C357F" w:rsidRDefault="00EC3190" w:rsidP="009C357F">
            <w:pPr>
              <w:pStyle w:val="BStablefigures"/>
            </w:pPr>
            <w:r w:rsidRPr="009C357F">
              <w:t>-152,504</w:t>
            </w:r>
          </w:p>
        </w:tc>
      </w:tr>
      <w:tr w:rsidR="00EC3190" w:rsidRPr="003608CE" w14:paraId="7C9D0C58" w14:textId="77777777" w:rsidTr="00062636">
        <w:trPr>
          <w:cantSplit/>
          <w:trHeight w:val="227"/>
          <w:jc w:val="center"/>
        </w:trPr>
        <w:tc>
          <w:tcPr>
            <w:tcW w:w="4559" w:type="dxa"/>
            <w:tcBorders>
              <w:top w:val="single" w:sz="4" w:space="0" w:color="auto"/>
              <w:bottom w:val="single" w:sz="4" w:space="0" w:color="auto"/>
            </w:tcBorders>
            <w:shd w:val="clear" w:color="auto" w:fill="auto"/>
          </w:tcPr>
          <w:p w14:paraId="4BB95B0F" w14:textId="6F83121F" w:rsidR="00EC3190" w:rsidRDefault="00EC3190" w:rsidP="009C357F">
            <w:pPr>
              <w:pStyle w:val="BStabletext"/>
            </w:pPr>
            <w:r>
              <w:t>Operating impact</w:t>
            </w:r>
          </w:p>
        </w:tc>
        <w:tc>
          <w:tcPr>
            <w:tcW w:w="902" w:type="dxa"/>
            <w:tcBorders>
              <w:top w:val="single" w:sz="4" w:space="0" w:color="auto"/>
              <w:bottom w:val="single" w:sz="4" w:space="0" w:color="auto"/>
            </w:tcBorders>
            <w:shd w:val="clear" w:color="auto" w:fill="auto"/>
          </w:tcPr>
          <w:p w14:paraId="20E7327B" w14:textId="77777777" w:rsidR="00EC3190" w:rsidRPr="003608CE" w:rsidRDefault="00EC3190" w:rsidP="009C357F">
            <w:pPr>
              <w:pStyle w:val="BStablefigures"/>
            </w:pPr>
          </w:p>
        </w:tc>
        <w:tc>
          <w:tcPr>
            <w:tcW w:w="902" w:type="dxa"/>
            <w:tcBorders>
              <w:top w:val="single" w:sz="4" w:space="0" w:color="auto"/>
              <w:left w:val="nil"/>
              <w:bottom w:val="single" w:sz="4" w:space="0" w:color="auto"/>
              <w:right w:val="nil"/>
            </w:tcBorders>
            <w:shd w:val="clear" w:color="auto" w:fill="auto"/>
            <w:vAlign w:val="bottom"/>
          </w:tcPr>
          <w:p w14:paraId="60885EF7" w14:textId="75AAE853" w:rsidR="00EC3190" w:rsidRPr="003608CE" w:rsidRDefault="00EC3190" w:rsidP="009C357F">
            <w:pPr>
              <w:pStyle w:val="BStablefigures"/>
            </w:pPr>
            <w:r>
              <w:t>-</w:t>
            </w:r>
            <w:r w:rsidR="00B85838">
              <w:t>84</w:t>
            </w:r>
            <w:r>
              <w:t>,542</w:t>
            </w:r>
          </w:p>
        </w:tc>
        <w:tc>
          <w:tcPr>
            <w:tcW w:w="903" w:type="dxa"/>
            <w:tcBorders>
              <w:top w:val="single" w:sz="4" w:space="0" w:color="auto"/>
              <w:left w:val="nil"/>
              <w:bottom w:val="single" w:sz="4" w:space="0" w:color="auto"/>
              <w:right w:val="nil"/>
            </w:tcBorders>
            <w:shd w:val="clear" w:color="auto" w:fill="auto"/>
            <w:vAlign w:val="bottom"/>
          </w:tcPr>
          <w:p w14:paraId="6AB0121A" w14:textId="1C8B3977" w:rsidR="00EC3190" w:rsidRPr="003608CE" w:rsidRDefault="00EC3190" w:rsidP="009C357F">
            <w:pPr>
              <w:pStyle w:val="BStablefigures"/>
            </w:pPr>
            <w:r>
              <w:t>-1</w:t>
            </w:r>
            <w:r w:rsidR="00027CA3">
              <w:t>20</w:t>
            </w:r>
            <w:r>
              <w:t>,471</w:t>
            </w:r>
          </w:p>
        </w:tc>
        <w:tc>
          <w:tcPr>
            <w:tcW w:w="902" w:type="dxa"/>
            <w:tcBorders>
              <w:top w:val="single" w:sz="4" w:space="0" w:color="auto"/>
              <w:left w:val="nil"/>
              <w:bottom w:val="single" w:sz="4" w:space="0" w:color="auto"/>
              <w:right w:val="nil"/>
            </w:tcBorders>
            <w:shd w:val="clear" w:color="auto" w:fill="auto"/>
            <w:vAlign w:val="bottom"/>
          </w:tcPr>
          <w:p w14:paraId="7FB3709E" w14:textId="4F46DEB2" w:rsidR="00EC3190" w:rsidRPr="003608CE" w:rsidRDefault="00EC3190" w:rsidP="009C357F">
            <w:pPr>
              <w:pStyle w:val="BStablefigures"/>
            </w:pPr>
            <w:r>
              <w:t>-13,417</w:t>
            </w:r>
          </w:p>
        </w:tc>
        <w:tc>
          <w:tcPr>
            <w:tcW w:w="903" w:type="dxa"/>
            <w:tcBorders>
              <w:top w:val="single" w:sz="4" w:space="0" w:color="auto"/>
              <w:left w:val="nil"/>
              <w:bottom w:val="single" w:sz="4" w:space="0" w:color="auto"/>
              <w:right w:val="nil"/>
            </w:tcBorders>
            <w:shd w:val="clear" w:color="auto" w:fill="auto"/>
            <w:vAlign w:val="bottom"/>
          </w:tcPr>
          <w:p w14:paraId="21F4634C" w14:textId="455DE083" w:rsidR="00EC3190" w:rsidRPr="003608CE" w:rsidRDefault="00EC3190" w:rsidP="009C357F">
            <w:pPr>
              <w:pStyle w:val="BStablefigures"/>
            </w:pPr>
            <w:r>
              <w:t>-24,507</w:t>
            </w:r>
          </w:p>
        </w:tc>
        <w:tc>
          <w:tcPr>
            <w:tcW w:w="903" w:type="dxa"/>
            <w:tcBorders>
              <w:top w:val="single" w:sz="4" w:space="0" w:color="auto"/>
              <w:left w:val="nil"/>
              <w:bottom w:val="single" w:sz="4" w:space="0" w:color="auto"/>
              <w:right w:val="nil"/>
            </w:tcBorders>
            <w:shd w:val="clear" w:color="auto" w:fill="auto"/>
            <w:vAlign w:val="bottom"/>
          </w:tcPr>
          <w:p w14:paraId="379224DD" w14:textId="55A401C2" w:rsidR="00EC3190" w:rsidRPr="009C357F" w:rsidRDefault="00EC3190" w:rsidP="009C357F">
            <w:pPr>
              <w:pStyle w:val="BStablefigures"/>
            </w:pPr>
            <w:r w:rsidRPr="009C357F">
              <w:t>-368,937</w:t>
            </w:r>
          </w:p>
        </w:tc>
      </w:tr>
    </w:tbl>
    <w:p w14:paraId="1C137AC5" w14:textId="2E2A44BA" w:rsidR="00B85838" w:rsidRPr="00B85838" w:rsidRDefault="00B85838" w:rsidP="00B85838">
      <w:pPr>
        <w:pStyle w:val="BFooter"/>
        <w:pBdr>
          <w:top w:val="none" w:sz="0" w:space="0" w:color="auto"/>
        </w:pBdr>
        <w:spacing w:before="120"/>
        <w:ind w:left="-426"/>
        <w:rPr>
          <w:b/>
          <w:bCs/>
          <w:i w:val="0"/>
          <w:iCs/>
        </w:rPr>
      </w:pPr>
      <w:r w:rsidRPr="00B85838">
        <w:rPr>
          <w:b/>
          <w:bCs/>
          <w:i w:val="0"/>
          <w:iCs/>
        </w:rPr>
        <w:t>Note:</w:t>
      </w:r>
    </w:p>
    <w:p w14:paraId="58A58F81" w14:textId="5F550A9F" w:rsidR="00B85838" w:rsidRPr="00B85838" w:rsidRDefault="00B53AFC" w:rsidP="00B85838">
      <w:pPr>
        <w:pStyle w:val="BFooter"/>
        <w:numPr>
          <w:ilvl w:val="0"/>
          <w:numId w:val="23"/>
        </w:numPr>
        <w:pBdr>
          <w:top w:val="none" w:sz="0" w:space="0" w:color="auto"/>
        </w:pBdr>
        <w:spacing w:before="120"/>
        <w:ind w:left="-142" w:hanging="284"/>
        <w:rPr>
          <w:i w:val="0"/>
          <w:iCs/>
        </w:rPr>
      </w:pPr>
      <w:r>
        <w:rPr>
          <w:i w:val="0"/>
          <w:iCs/>
        </w:rPr>
        <w:t>T</w:t>
      </w:r>
      <w:r w:rsidR="00B85838">
        <w:rPr>
          <w:i w:val="0"/>
          <w:iCs/>
        </w:rPr>
        <w:t xml:space="preserve">otals do not add, as impacts associated with the </w:t>
      </w:r>
      <w:r w:rsidR="00F56EB5">
        <w:t>More support for the healthcare system</w:t>
      </w:r>
      <w:r w:rsidR="00B85838">
        <w:rPr>
          <w:i w:val="0"/>
          <w:iCs/>
        </w:rPr>
        <w:t xml:space="preserve"> initiative have not been allocated to specific financial years. </w:t>
      </w:r>
    </w:p>
    <w:p w14:paraId="68524748" w14:textId="77777777" w:rsidR="00F56EB5" w:rsidRDefault="00F56EB5" w:rsidP="00043D58">
      <w:pPr>
        <w:pStyle w:val="Caption"/>
        <w:spacing w:before="0" w:after="0"/>
        <w:rPr>
          <w:snapToGrid w:val="0"/>
        </w:rPr>
      </w:pPr>
    </w:p>
    <w:p w14:paraId="16982BF2" w14:textId="77777777" w:rsidR="00F56EB5" w:rsidRDefault="00F56EB5" w:rsidP="00043D58">
      <w:pPr>
        <w:pStyle w:val="Caption"/>
        <w:spacing w:before="0" w:after="0"/>
        <w:rPr>
          <w:snapToGrid w:val="0"/>
        </w:rPr>
      </w:pPr>
    </w:p>
    <w:p w14:paraId="07E1F3A1" w14:textId="378579A3" w:rsidR="009C357F" w:rsidRDefault="009C357F" w:rsidP="00043D58">
      <w:pPr>
        <w:pStyle w:val="Caption"/>
        <w:spacing w:before="0" w:after="0"/>
        <w:rPr>
          <w:snapToGrid w:val="0"/>
        </w:rPr>
      </w:pPr>
      <w:r>
        <w:rPr>
          <w:snapToGrid w:val="0"/>
        </w:rPr>
        <w:t>Table 2: Detailed initiatives</w:t>
      </w:r>
    </w:p>
    <w:p w14:paraId="3F8E3E55" w14:textId="77777777" w:rsidR="00811444" w:rsidRPr="00811444" w:rsidRDefault="00811444" w:rsidP="00811444"/>
    <w:tbl>
      <w:tblPr>
        <w:tblW w:w="9974" w:type="dxa"/>
        <w:jc w:val="center"/>
        <w:tblLayout w:type="fixed"/>
        <w:tblCellMar>
          <w:left w:w="30" w:type="dxa"/>
          <w:right w:w="30" w:type="dxa"/>
        </w:tblCellMar>
        <w:tblLook w:val="0000" w:firstRow="0" w:lastRow="0" w:firstColumn="0" w:lastColumn="0" w:noHBand="0" w:noVBand="0"/>
      </w:tblPr>
      <w:tblGrid>
        <w:gridCol w:w="4253"/>
        <w:gridCol w:w="1208"/>
        <w:gridCol w:w="902"/>
        <w:gridCol w:w="903"/>
        <w:gridCol w:w="902"/>
        <w:gridCol w:w="903"/>
        <w:gridCol w:w="903"/>
      </w:tblGrid>
      <w:tr w:rsidR="00C72836" w:rsidRPr="00D70D49" w14:paraId="55553F67" w14:textId="77777777" w:rsidTr="00877AFB">
        <w:trPr>
          <w:cantSplit/>
          <w:trHeight w:val="227"/>
          <w:tblHeader/>
          <w:jc w:val="center"/>
        </w:trPr>
        <w:tc>
          <w:tcPr>
            <w:tcW w:w="4253" w:type="dxa"/>
            <w:tcBorders>
              <w:top w:val="single" w:sz="4" w:space="0" w:color="auto"/>
              <w:left w:val="nil"/>
              <w:bottom w:val="single" w:sz="4" w:space="0" w:color="auto"/>
              <w:right w:val="nil"/>
            </w:tcBorders>
            <w:shd w:val="clear" w:color="auto" w:fill="auto"/>
          </w:tcPr>
          <w:p w14:paraId="7234F7F2" w14:textId="7EA2D8C6" w:rsidR="00C72836" w:rsidRDefault="00062636" w:rsidP="00043D58">
            <w:pPr>
              <w:pStyle w:val="BStabletextbold"/>
            </w:pPr>
            <w:r>
              <w:t xml:space="preserve">Initiatives </w:t>
            </w:r>
          </w:p>
          <w:p w14:paraId="40A42A05" w14:textId="201F776B" w:rsidR="00062636" w:rsidRPr="00932AF2" w:rsidRDefault="00062636" w:rsidP="00043D58">
            <w:pPr>
              <w:pStyle w:val="BStabletextbold"/>
            </w:pPr>
          </w:p>
        </w:tc>
        <w:tc>
          <w:tcPr>
            <w:tcW w:w="1208" w:type="dxa"/>
            <w:tcBorders>
              <w:top w:val="single" w:sz="4" w:space="0" w:color="auto"/>
              <w:left w:val="nil"/>
              <w:bottom w:val="single" w:sz="4" w:space="0" w:color="auto"/>
              <w:right w:val="nil"/>
            </w:tcBorders>
          </w:tcPr>
          <w:p w14:paraId="74ECD7AE" w14:textId="77777777" w:rsidR="00C72836" w:rsidRPr="00D70D49" w:rsidRDefault="00C72836" w:rsidP="00043D58">
            <w:pPr>
              <w:pStyle w:val="BStablefiguresbold"/>
            </w:pPr>
            <w:r>
              <w:t>Impact</w:t>
            </w:r>
          </w:p>
        </w:tc>
        <w:tc>
          <w:tcPr>
            <w:tcW w:w="902" w:type="dxa"/>
            <w:tcBorders>
              <w:top w:val="single" w:sz="4" w:space="0" w:color="auto"/>
              <w:left w:val="nil"/>
              <w:bottom w:val="single" w:sz="4" w:space="0" w:color="auto"/>
              <w:right w:val="nil"/>
            </w:tcBorders>
            <w:shd w:val="clear" w:color="auto" w:fill="auto"/>
          </w:tcPr>
          <w:p w14:paraId="3D1B348F" w14:textId="77777777" w:rsidR="00C72836" w:rsidRPr="00D70D49" w:rsidRDefault="00C72836" w:rsidP="00043D58">
            <w:pPr>
              <w:pStyle w:val="BStablefiguresbold"/>
            </w:pPr>
            <w:r w:rsidRPr="00D70D49">
              <w:t>2019-20</w:t>
            </w:r>
          </w:p>
          <w:p w14:paraId="57BC1FA6"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tcPr>
          <w:p w14:paraId="67170B01" w14:textId="77777777" w:rsidR="00C72836" w:rsidRPr="00D70D49" w:rsidRDefault="00C72836" w:rsidP="00043D58">
            <w:pPr>
              <w:pStyle w:val="BStablefiguresbold"/>
            </w:pPr>
            <w:r w:rsidRPr="00D70D49">
              <w:t>2020-21</w:t>
            </w:r>
          </w:p>
          <w:p w14:paraId="7A0E0E2F" w14:textId="77777777" w:rsidR="00C72836" w:rsidRPr="00D70D49" w:rsidRDefault="00C72836" w:rsidP="00043D58">
            <w:pPr>
              <w:pStyle w:val="BStablefiguresbold"/>
            </w:pPr>
            <w:r>
              <w:t>$</w:t>
            </w:r>
            <w:r w:rsidRPr="00D70D49">
              <w:t>’000</w:t>
            </w:r>
          </w:p>
        </w:tc>
        <w:tc>
          <w:tcPr>
            <w:tcW w:w="902" w:type="dxa"/>
            <w:tcBorders>
              <w:top w:val="single" w:sz="4" w:space="0" w:color="auto"/>
              <w:left w:val="nil"/>
              <w:bottom w:val="single" w:sz="4" w:space="0" w:color="auto"/>
              <w:right w:val="nil"/>
            </w:tcBorders>
            <w:shd w:val="clear" w:color="auto" w:fill="auto"/>
          </w:tcPr>
          <w:p w14:paraId="084325B3" w14:textId="77777777" w:rsidR="00C72836" w:rsidRPr="00D70D49" w:rsidRDefault="00C72836" w:rsidP="00043D58">
            <w:pPr>
              <w:pStyle w:val="BStablefiguresbold"/>
            </w:pPr>
            <w:r w:rsidRPr="00D70D49">
              <w:t>2021-22</w:t>
            </w:r>
          </w:p>
          <w:p w14:paraId="130A0AFD"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tcPr>
          <w:p w14:paraId="03543FEA" w14:textId="77777777" w:rsidR="00C72836" w:rsidRPr="00D70D49" w:rsidRDefault="00C72836" w:rsidP="00043D58">
            <w:pPr>
              <w:pStyle w:val="BStablefiguresbold"/>
            </w:pPr>
            <w:r w:rsidRPr="00D70D49">
              <w:t>2022-23</w:t>
            </w:r>
          </w:p>
          <w:p w14:paraId="5224A9BB" w14:textId="77777777" w:rsidR="00C72836" w:rsidRPr="00D70D49" w:rsidRDefault="00C72836" w:rsidP="00043D58">
            <w:pPr>
              <w:pStyle w:val="BStablefiguresbold"/>
            </w:pPr>
            <w:r w:rsidRPr="00D70D49">
              <w:t>$’000</w:t>
            </w:r>
          </w:p>
        </w:tc>
        <w:tc>
          <w:tcPr>
            <w:tcW w:w="903" w:type="dxa"/>
            <w:tcBorders>
              <w:top w:val="single" w:sz="4" w:space="0" w:color="auto"/>
              <w:left w:val="nil"/>
              <w:bottom w:val="single" w:sz="4" w:space="0" w:color="auto"/>
              <w:right w:val="nil"/>
            </w:tcBorders>
            <w:shd w:val="clear" w:color="auto" w:fill="auto"/>
          </w:tcPr>
          <w:p w14:paraId="63904DD7" w14:textId="77777777" w:rsidR="00C72836" w:rsidRDefault="00C72836" w:rsidP="00043D58">
            <w:pPr>
              <w:pStyle w:val="BStablefiguresbold"/>
              <w:rPr>
                <w:snapToGrid w:val="0"/>
              </w:rPr>
            </w:pPr>
            <w:r w:rsidRPr="00932AF2">
              <w:rPr>
                <w:snapToGrid w:val="0"/>
              </w:rPr>
              <w:t>Total</w:t>
            </w:r>
          </w:p>
          <w:p w14:paraId="320718F5" w14:textId="77777777" w:rsidR="00C72836" w:rsidRPr="00D70D49" w:rsidRDefault="00C72836" w:rsidP="00043D58">
            <w:pPr>
              <w:pStyle w:val="BStablefiguresbold"/>
              <w:rPr>
                <w:snapToGrid w:val="0"/>
              </w:rPr>
            </w:pPr>
            <w:r>
              <w:rPr>
                <w:snapToGrid w:val="0"/>
              </w:rPr>
              <w:t>$’000</w:t>
            </w:r>
          </w:p>
        </w:tc>
      </w:tr>
      <w:tr w:rsidR="00C72836" w:rsidRPr="003608CE" w14:paraId="051CDC4E" w14:textId="77777777" w:rsidTr="00BF7598">
        <w:trPr>
          <w:cantSplit/>
          <w:trHeight w:val="227"/>
          <w:jc w:val="center"/>
        </w:trPr>
        <w:tc>
          <w:tcPr>
            <w:tcW w:w="4253" w:type="dxa"/>
            <w:shd w:val="clear" w:color="auto" w:fill="auto"/>
          </w:tcPr>
          <w:p w14:paraId="311C823E" w14:textId="1492AB5E" w:rsidR="00C72836" w:rsidRPr="003608CE" w:rsidRDefault="00C72836" w:rsidP="009C357F">
            <w:pPr>
              <w:pStyle w:val="BStabletextbold"/>
            </w:pPr>
            <w:r w:rsidRPr="003608CE">
              <w:t>Supporting local businesse</w:t>
            </w:r>
            <w:r w:rsidR="00931EFB">
              <w:t>s, jobs</w:t>
            </w:r>
            <w:r w:rsidRPr="003608CE">
              <w:t xml:space="preserve"> and the economy</w:t>
            </w:r>
          </w:p>
        </w:tc>
        <w:tc>
          <w:tcPr>
            <w:tcW w:w="1208" w:type="dxa"/>
            <w:shd w:val="clear" w:color="auto" w:fill="auto"/>
          </w:tcPr>
          <w:p w14:paraId="2DBD64A8" w14:textId="77777777" w:rsidR="00C72836" w:rsidRPr="00E7412B" w:rsidRDefault="00C72836" w:rsidP="00062636">
            <w:pPr>
              <w:spacing w:after="0" w:line="23" w:lineRule="atLeast"/>
              <w:jc w:val="center"/>
              <w:rPr>
                <w:rFonts w:cs="Calibri"/>
                <w:color w:val="FFFFFF"/>
                <w:sz w:val="16"/>
                <w:szCs w:val="16"/>
              </w:rPr>
            </w:pPr>
          </w:p>
        </w:tc>
        <w:tc>
          <w:tcPr>
            <w:tcW w:w="902" w:type="dxa"/>
            <w:shd w:val="clear" w:color="auto" w:fill="auto"/>
          </w:tcPr>
          <w:p w14:paraId="55CB5C98" w14:textId="77777777" w:rsidR="00C72836" w:rsidRPr="003608CE" w:rsidRDefault="00C72836" w:rsidP="00062636">
            <w:pPr>
              <w:spacing w:after="0" w:line="23" w:lineRule="atLeast"/>
              <w:jc w:val="right"/>
              <w:rPr>
                <w:rFonts w:cs="Calibri"/>
                <w:color w:val="FFFFFF"/>
                <w:sz w:val="12"/>
              </w:rPr>
            </w:pPr>
          </w:p>
        </w:tc>
        <w:tc>
          <w:tcPr>
            <w:tcW w:w="903" w:type="dxa"/>
            <w:shd w:val="clear" w:color="auto" w:fill="auto"/>
          </w:tcPr>
          <w:p w14:paraId="75AC0BB5" w14:textId="77777777" w:rsidR="00C72836" w:rsidRPr="003608CE" w:rsidRDefault="00C72836" w:rsidP="00062636">
            <w:pPr>
              <w:spacing w:after="0" w:line="23" w:lineRule="atLeast"/>
              <w:jc w:val="right"/>
              <w:rPr>
                <w:rFonts w:cs="Calibri"/>
                <w:color w:val="FFFFFF"/>
                <w:sz w:val="12"/>
              </w:rPr>
            </w:pPr>
          </w:p>
        </w:tc>
        <w:tc>
          <w:tcPr>
            <w:tcW w:w="902" w:type="dxa"/>
            <w:shd w:val="clear" w:color="auto" w:fill="auto"/>
          </w:tcPr>
          <w:p w14:paraId="644A0C72" w14:textId="77777777" w:rsidR="00C72836" w:rsidRPr="003608CE" w:rsidRDefault="00C72836" w:rsidP="00062636">
            <w:pPr>
              <w:spacing w:after="0" w:line="23" w:lineRule="atLeast"/>
              <w:jc w:val="right"/>
              <w:rPr>
                <w:rFonts w:cs="Calibri"/>
                <w:color w:val="FFFFFF"/>
                <w:sz w:val="12"/>
              </w:rPr>
            </w:pPr>
          </w:p>
        </w:tc>
        <w:tc>
          <w:tcPr>
            <w:tcW w:w="903" w:type="dxa"/>
            <w:shd w:val="clear" w:color="auto" w:fill="auto"/>
          </w:tcPr>
          <w:p w14:paraId="07CC6E9F" w14:textId="77777777" w:rsidR="00C72836" w:rsidRPr="003608CE" w:rsidRDefault="00C72836" w:rsidP="00062636">
            <w:pPr>
              <w:spacing w:after="0" w:line="23" w:lineRule="atLeast"/>
              <w:jc w:val="right"/>
              <w:rPr>
                <w:rFonts w:cs="Calibri"/>
                <w:color w:val="FFFFFF"/>
                <w:sz w:val="12"/>
              </w:rPr>
            </w:pPr>
          </w:p>
        </w:tc>
        <w:tc>
          <w:tcPr>
            <w:tcW w:w="903" w:type="dxa"/>
            <w:shd w:val="clear" w:color="auto" w:fill="auto"/>
          </w:tcPr>
          <w:p w14:paraId="48BC913E" w14:textId="77777777" w:rsidR="00C72836" w:rsidRPr="003608CE" w:rsidRDefault="00C72836" w:rsidP="00062636">
            <w:pPr>
              <w:spacing w:after="0" w:line="23" w:lineRule="atLeast"/>
              <w:jc w:val="right"/>
              <w:rPr>
                <w:rFonts w:cs="Calibri"/>
                <w:color w:val="FFFFFF"/>
                <w:sz w:val="12"/>
              </w:rPr>
            </w:pPr>
          </w:p>
        </w:tc>
      </w:tr>
      <w:tr w:rsidR="00C72836" w:rsidRPr="003608CE" w14:paraId="6723D644" w14:textId="77777777" w:rsidTr="00BF7598">
        <w:trPr>
          <w:cantSplit/>
          <w:trHeight w:val="227"/>
          <w:jc w:val="center"/>
        </w:trPr>
        <w:tc>
          <w:tcPr>
            <w:tcW w:w="4253" w:type="dxa"/>
            <w:shd w:val="clear" w:color="auto" w:fill="auto"/>
          </w:tcPr>
          <w:p w14:paraId="3F3C5B93" w14:textId="712B3254" w:rsidR="00C72836" w:rsidRPr="003608CE" w:rsidRDefault="00C72836" w:rsidP="009C357F">
            <w:pPr>
              <w:pStyle w:val="BStabletext"/>
            </w:pPr>
            <w:r w:rsidRPr="003608CE">
              <w:t xml:space="preserve">$1,000 additional electricity rebate for </w:t>
            </w:r>
            <w:r w:rsidR="001A7C4E" w:rsidRPr="003608CE">
              <w:t>caf</w:t>
            </w:r>
            <w:r w:rsidR="001A7C4E">
              <w:t>e</w:t>
            </w:r>
            <w:r w:rsidR="001A7C4E" w:rsidRPr="003608CE">
              <w:t>s</w:t>
            </w:r>
            <w:r w:rsidRPr="003608CE">
              <w:t>, takeaways and restaurants</w:t>
            </w:r>
          </w:p>
        </w:tc>
        <w:tc>
          <w:tcPr>
            <w:tcW w:w="1208" w:type="dxa"/>
            <w:shd w:val="clear" w:color="auto" w:fill="auto"/>
          </w:tcPr>
          <w:p w14:paraId="0991FBEF"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407AB805" w14:textId="77777777" w:rsidR="00C72836" w:rsidRPr="003608CE" w:rsidRDefault="00C72836" w:rsidP="009C357F">
            <w:pPr>
              <w:pStyle w:val="BStablefigures"/>
            </w:pPr>
            <w:r w:rsidRPr="003608CE">
              <w:t xml:space="preserve">0 </w:t>
            </w:r>
          </w:p>
        </w:tc>
        <w:tc>
          <w:tcPr>
            <w:tcW w:w="903" w:type="dxa"/>
            <w:shd w:val="clear" w:color="auto" w:fill="auto"/>
          </w:tcPr>
          <w:p w14:paraId="3EF27A7F" w14:textId="77777777" w:rsidR="00C72836" w:rsidRPr="003608CE" w:rsidRDefault="00C72836" w:rsidP="009C357F">
            <w:pPr>
              <w:pStyle w:val="BStablefigures"/>
            </w:pPr>
            <w:r w:rsidRPr="003608CE">
              <w:t xml:space="preserve">1,500 </w:t>
            </w:r>
          </w:p>
        </w:tc>
        <w:tc>
          <w:tcPr>
            <w:tcW w:w="902" w:type="dxa"/>
            <w:shd w:val="clear" w:color="auto" w:fill="auto"/>
          </w:tcPr>
          <w:p w14:paraId="77523C71" w14:textId="77777777" w:rsidR="00C72836" w:rsidRPr="003608CE" w:rsidRDefault="00C72836" w:rsidP="009C357F">
            <w:pPr>
              <w:pStyle w:val="BStablefigures"/>
            </w:pPr>
            <w:r w:rsidRPr="003608CE">
              <w:t xml:space="preserve">0 </w:t>
            </w:r>
          </w:p>
        </w:tc>
        <w:tc>
          <w:tcPr>
            <w:tcW w:w="903" w:type="dxa"/>
            <w:shd w:val="clear" w:color="auto" w:fill="auto"/>
          </w:tcPr>
          <w:p w14:paraId="28E5A0E1" w14:textId="77777777" w:rsidR="00C72836" w:rsidRPr="003608CE" w:rsidRDefault="00C72836" w:rsidP="009C357F">
            <w:pPr>
              <w:pStyle w:val="BStablefigures"/>
            </w:pPr>
            <w:r w:rsidRPr="003608CE">
              <w:t xml:space="preserve">0 </w:t>
            </w:r>
          </w:p>
        </w:tc>
        <w:tc>
          <w:tcPr>
            <w:tcW w:w="903" w:type="dxa"/>
            <w:shd w:val="clear" w:color="auto" w:fill="auto"/>
          </w:tcPr>
          <w:p w14:paraId="0C59ABE3" w14:textId="77777777" w:rsidR="00C72836" w:rsidRPr="003608CE" w:rsidRDefault="00C72836" w:rsidP="00062636">
            <w:pPr>
              <w:pStyle w:val="BTableHeadingRowRightAligned"/>
              <w:spacing w:line="23" w:lineRule="atLeast"/>
            </w:pPr>
            <w:r w:rsidRPr="003608CE">
              <w:t xml:space="preserve">1,500 </w:t>
            </w:r>
          </w:p>
        </w:tc>
      </w:tr>
      <w:tr w:rsidR="00C72836" w:rsidRPr="003608CE" w14:paraId="79A2E0F5" w14:textId="77777777" w:rsidTr="00BF7598">
        <w:trPr>
          <w:cantSplit/>
          <w:trHeight w:val="227"/>
          <w:jc w:val="center"/>
        </w:trPr>
        <w:tc>
          <w:tcPr>
            <w:tcW w:w="4253" w:type="dxa"/>
            <w:shd w:val="clear" w:color="auto" w:fill="auto"/>
          </w:tcPr>
          <w:p w14:paraId="64DFCE62" w14:textId="77777777" w:rsidR="00C72836" w:rsidRPr="003608CE" w:rsidRDefault="00C72836" w:rsidP="009C357F">
            <w:pPr>
              <w:pStyle w:val="BStabletext"/>
            </w:pPr>
            <w:r w:rsidRPr="003608CE">
              <w:t>Additional support for the Vocational Education and Training Sector</w:t>
            </w:r>
          </w:p>
        </w:tc>
        <w:tc>
          <w:tcPr>
            <w:tcW w:w="1208" w:type="dxa"/>
            <w:shd w:val="clear" w:color="auto" w:fill="auto"/>
          </w:tcPr>
          <w:p w14:paraId="78FD8414"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0C0E47C" w14:textId="77777777" w:rsidR="00C72836" w:rsidRPr="003608CE" w:rsidRDefault="00C72836" w:rsidP="009C357F">
            <w:pPr>
              <w:pStyle w:val="BStablefigures"/>
            </w:pPr>
            <w:r w:rsidRPr="003608CE">
              <w:t xml:space="preserve">1,000 </w:t>
            </w:r>
          </w:p>
        </w:tc>
        <w:tc>
          <w:tcPr>
            <w:tcW w:w="903" w:type="dxa"/>
            <w:shd w:val="clear" w:color="auto" w:fill="auto"/>
          </w:tcPr>
          <w:p w14:paraId="730A2E34" w14:textId="77777777" w:rsidR="00C72836" w:rsidRPr="003608CE" w:rsidRDefault="00C72836" w:rsidP="009C357F">
            <w:pPr>
              <w:pStyle w:val="BStablefigures"/>
            </w:pPr>
            <w:r w:rsidRPr="003608CE">
              <w:t xml:space="preserve">1,000 </w:t>
            </w:r>
          </w:p>
        </w:tc>
        <w:tc>
          <w:tcPr>
            <w:tcW w:w="902" w:type="dxa"/>
            <w:shd w:val="clear" w:color="auto" w:fill="auto"/>
          </w:tcPr>
          <w:p w14:paraId="689B73D4" w14:textId="77777777" w:rsidR="00C72836" w:rsidRPr="003608CE" w:rsidRDefault="00C72836" w:rsidP="009C357F">
            <w:pPr>
              <w:pStyle w:val="BStablefigures"/>
            </w:pPr>
            <w:r w:rsidRPr="003608CE">
              <w:t xml:space="preserve">0 </w:t>
            </w:r>
          </w:p>
        </w:tc>
        <w:tc>
          <w:tcPr>
            <w:tcW w:w="903" w:type="dxa"/>
            <w:shd w:val="clear" w:color="auto" w:fill="auto"/>
          </w:tcPr>
          <w:p w14:paraId="2EB77E6F" w14:textId="77777777" w:rsidR="00C72836" w:rsidRPr="003608CE" w:rsidRDefault="00C72836" w:rsidP="009C357F">
            <w:pPr>
              <w:pStyle w:val="BStablefigures"/>
            </w:pPr>
            <w:r w:rsidRPr="003608CE">
              <w:t xml:space="preserve">0 </w:t>
            </w:r>
          </w:p>
        </w:tc>
        <w:tc>
          <w:tcPr>
            <w:tcW w:w="903" w:type="dxa"/>
            <w:shd w:val="clear" w:color="auto" w:fill="auto"/>
          </w:tcPr>
          <w:p w14:paraId="507A29D0" w14:textId="77777777" w:rsidR="00C72836" w:rsidRPr="003608CE" w:rsidRDefault="00C72836" w:rsidP="00062636">
            <w:pPr>
              <w:pStyle w:val="BTableHeadingRowRightAligned"/>
              <w:spacing w:line="23" w:lineRule="atLeast"/>
            </w:pPr>
            <w:r w:rsidRPr="003608CE">
              <w:t xml:space="preserve">2,000 </w:t>
            </w:r>
          </w:p>
        </w:tc>
      </w:tr>
      <w:tr w:rsidR="00C72836" w:rsidRPr="003608CE" w14:paraId="24C33F95" w14:textId="77777777" w:rsidTr="00BF7598">
        <w:trPr>
          <w:cantSplit/>
          <w:trHeight w:val="227"/>
          <w:jc w:val="center"/>
        </w:trPr>
        <w:tc>
          <w:tcPr>
            <w:tcW w:w="4253" w:type="dxa"/>
            <w:shd w:val="clear" w:color="auto" w:fill="auto"/>
          </w:tcPr>
          <w:p w14:paraId="789D1362" w14:textId="77777777" w:rsidR="00C72836" w:rsidRPr="003608CE" w:rsidRDefault="00C72836" w:rsidP="009C357F">
            <w:pPr>
              <w:pStyle w:val="BStabletext"/>
            </w:pPr>
            <w:r w:rsidRPr="003608CE">
              <w:t>Automatic $750 electricity rebates for small businesses</w:t>
            </w:r>
          </w:p>
        </w:tc>
        <w:tc>
          <w:tcPr>
            <w:tcW w:w="1208" w:type="dxa"/>
            <w:shd w:val="clear" w:color="auto" w:fill="auto"/>
          </w:tcPr>
          <w:p w14:paraId="3CFD8486"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64D1CE23" w14:textId="77777777" w:rsidR="00C72836" w:rsidRPr="003608CE" w:rsidRDefault="00C72836" w:rsidP="009C357F">
            <w:pPr>
              <w:pStyle w:val="BStablefigures"/>
            </w:pPr>
            <w:r w:rsidRPr="003608CE">
              <w:t xml:space="preserve">9,790 </w:t>
            </w:r>
          </w:p>
        </w:tc>
        <w:tc>
          <w:tcPr>
            <w:tcW w:w="903" w:type="dxa"/>
            <w:shd w:val="clear" w:color="auto" w:fill="auto"/>
          </w:tcPr>
          <w:p w14:paraId="5FDDFD2A" w14:textId="77777777" w:rsidR="00C72836" w:rsidRPr="003608CE" w:rsidRDefault="00C72836" w:rsidP="009C357F">
            <w:pPr>
              <w:pStyle w:val="BStablefigures"/>
            </w:pPr>
            <w:r w:rsidRPr="003608CE">
              <w:t xml:space="preserve">0 </w:t>
            </w:r>
          </w:p>
        </w:tc>
        <w:tc>
          <w:tcPr>
            <w:tcW w:w="902" w:type="dxa"/>
            <w:shd w:val="clear" w:color="auto" w:fill="auto"/>
          </w:tcPr>
          <w:p w14:paraId="6246160A" w14:textId="77777777" w:rsidR="00C72836" w:rsidRPr="003608CE" w:rsidRDefault="00C72836" w:rsidP="009C357F">
            <w:pPr>
              <w:pStyle w:val="BStablefigures"/>
            </w:pPr>
            <w:r w:rsidRPr="003608CE">
              <w:t xml:space="preserve">0 </w:t>
            </w:r>
          </w:p>
        </w:tc>
        <w:tc>
          <w:tcPr>
            <w:tcW w:w="903" w:type="dxa"/>
            <w:shd w:val="clear" w:color="auto" w:fill="auto"/>
          </w:tcPr>
          <w:p w14:paraId="35C8590C" w14:textId="77777777" w:rsidR="00C72836" w:rsidRPr="003608CE" w:rsidRDefault="00C72836" w:rsidP="009C357F">
            <w:pPr>
              <w:pStyle w:val="BStablefigures"/>
            </w:pPr>
            <w:r w:rsidRPr="003608CE">
              <w:t xml:space="preserve">0 </w:t>
            </w:r>
          </w:p>
        </w:tc>
        <w:tc>
          <w:tcPr>
            <w:tcW w:w="903" w:type="dxa"/>
            <w:shd w:val="clear" w:color="auto" w:fill="auto"/>
          </w:tcPr>
          <w:p w14:paraId="620CEBE9" w14:textId="77777777" w:rsidR="00C72836" w:rsidRPr="003608CE" w:rsidRDefault="00C72836" w:rsidP="00062636">
            <w:pPr>
              <w:pStyle w:val="BTableHeadingRowRightAligned"/>
              <w:spacing w:line="23" w:lineRule="atLeast"/>
            </w:pPr>
            <w:r w:rsidRPr="003608CE">
              <w:t xml:space="preserve">9,790 </w:t>
            </w:r>
          </w:p>
        </w:tc>
      </w:tr>
      <w:tr w:rsidR="00C72836" w:rsidRPr="003608CE" w14:paraId="3CE55398" w14:textId="77777777" w:rsidTr="00BF7598">
        <w:trPr>
          <w:cantSplit/>
          <w:trHeight w:val="227"/>
          <w:jc w:val="center"/>
        </w:trPr>
        <w:tc>
          <w:tcPr>
            <w:tcW w:w="4253" w:type="dxa"/>
            <w:shd w:val="clear" w:color="auto" w:fill="auto"/>
          </w:tcPr>
          <w:p w14:paraId="716B0D38" w14:textId="77777777" w:rsidR="00C72836" w:rsidRPr="003608CE" w:rsidRDefault="00C72836" w:rsidP="009C357F">
            <w:pPr>
              <w:pStyle w:val="BStabletext"/>
            </w:pPr>
            <w:r w:rsidRPr="003608CE">
              <w:t>CIT IT investment</w:t>
            </w:r>
          </w:p>
        </w:tc>
        <w:tc>
          <w:tcPr>
            <w:tcW w:w="1208" w:type="dxa"/>
            <w:shd w:val="clear" w:color="auto" w:fill="auto"/>
          </w:tcPr>
          <w:p w14:paraId="32E7123C"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65B3490F" w14:textId="77777777" w:rsidR="00C72836" w:rsidRPr="003608CE" w:rsidRDefault="00C72836" w:rsidP="009C357F">
            <w:pPr>
              <w:pStyle w:val="BStablefigures"/>
            </w:pPr>
            <w:r w:rsidRPr="003608CE">
              <w:t xml:space="preserve">800 </w:t>
            </w:r>
          </w:p>
        </w:tc>
        <w:tc>
          <w:tcPr>
            <w:tcW w:w="903" w:type="dxa"/>
            <w:shd w:val="clear" w:color="auto" w:fill="auto"/>
          </w:tcPr>
          <w:p w14:paraId="2A06A64F" w14:textId="77777777" w:rsidR="00C72836" w:rsidRPr="003608CE" w:rsidRDefault="00C72836" w:rsidP="009C357F">
            <w:pPr>
              <w:pStyle w:val="BStablefigures"/>
            </w:pPr>
            <w:r w:rsidRPr="003608CE">
              <w:t xml:space="preserve">195 </w:t>
            </w:r>
          </w:p>
        </w:tc>
        <w:tc>
          <w:tcPr>
            <w:tcW w:w="902" w:type="dxa"/>
            <w:shd w:val="clear" w:color="auto" w:fill="auto"/>
          </w:tcPr>
          <w:p w14:paraId="5C26E0B7" w14:textId="77777777" w:rsidR="00C72836" w:rsidRPr="003608CE" w:rsidRDefault="00C72836" w:rsidP="009C357F">
            <w:pPr>
              <w:pStyle w:val="BStablefigures"/>
            </w:pPr>
            <w:r w:rsidRPr="003608CE">
              <w:t xml:space="preserve">0 </w:t>
            </w:r>
          </w:p>
        </w:tc>
        <w:tc>
          <w:tcPr>
            <w:tcW w:w="903" w:type="dxa"/>
            <w:shd w:val="clear" w:color="auto" w:fill="auto"/>
          </w:tcPr>
          <w:p w14:paraId="5A87B946" w14:textId="77777777" w:rsidR="00C72836" w:rsidRPr="003608CE" w:rsidRDefault="00C72836" w:rsidP="009C357F">
            <w:pPr>
              <w:pStyle w:val="BStablefigures"/>
            </w:pPr>
            <w:r w:rsidRPr="003608CE">
              <w:t xml:space="preserve">0 </w:t>
            </w:r>
          </w:p>
        </w:tc>
        <w:tc>
          <w:tcPr>
            <w:tcW w:w="903" w:type="dxa"/>
            <w:shd w:val="clear" w:color="auto" w:fill="auto"/>
          </w:tcPr>
          <w:p w14:paraId="23DBA8BE" w14:textId="77777777" w:rsidR="00C72836" w:rsidRPr="003608CE" w:rsidRDefault="00C72836" w:rsidP="00062636">
            <w:pPr>
              <w:pStyle w:val="BTableHeadingRowRightAligned"/>
              <w:spacing w:line="23" w:lineRule="atLeast"/>
            </w:pPr>
            <w:r w:rsidRPr="003608CE">
              <w:t xml:space="preserve">995 </w:t>
            </w:r>
          </w:p>
        </w:tc>
      </w:tr>
      <w:tr w:rsidR="00C72836" w:rsidRPr="003608CE" w14:paraId="5D954F06" w14:textId="77777777" w:rsidTr="00BF7598">
        <w:trPr>
          <w:cantSplit/>
          <w:trHeight w:val="227"/>
          <w:jc w:val="center"/>
        </w:trPr>
        <w:tc>
          <w:tcPr>
            <w:tcW w:w="4253" w:type="dxa"/>
            <w:shd w:val="clear" w:color="auto" w:fill="auto"/>
          </w:tcPr>
          <w:p w14:paraId="44C4CE80" w14:textId="2136B0FC" w:rsidR="00C72836" w:rsidRPr="003608CE" w:rsidRDefault="00C72836" w:rsidP="009C357F">
            <w:pPr>
              <w:pStyle w:val="BStabletext"/>
            </w:pPr>
            <w:r w:rsidRPr="003608CE">
              <w:t xml:space="preserve">City Centre Marketing and Improvements </w:t>
            </w:r>
            <w:proofErr w:type="gramStart"/>
            <w:r w:rsidRPr="003608CE">
              <w:t>Levy  ̶</w:t>
            </w:r>
            <w:proofErr w:type="gramEnd"/>
            <w:r w:rsidRPr="003608CE">
              <w:t xml:space="preserve">  50</w:t>
            </w:r>
            <w:r w:rsidR="00584A22">
              <w:t> </w:t>
            </w:r>
            <w:r w:rsidRPr="003608CE">
              <w:t>per cent reduction</w:t>
            </w:r>
            <w:r>
              <w:t xml:space="preserve"> </w:t>
            </w:r>
          </w:p>
        </w:tc>
        <w:tc>
          <w:tcPr>
            <w:tcW w:w="1208" w:type="dxa"/>
            <w:shd w:val="clear" w:color="auto" w:fill="auto"/>
          </w:tcPr>
          <w:p w14:paraId="4D32EE00"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35E14640" w14:textId="77777777" w:rsidR="00C72836" w:rsidRPr="003608CE" w:rsidRDefault="00C72836" w:rsidP="009C357F">
            <w:pPr>
              <w:pStyle w:val="BStablefigures"/>
            </w:pPr>
            <w:r w:rsidRPr="003608CE">
              <w:t xml:space="preserve">0 </w:t>
            </w:r>
          </w:p>
        </w:tc>
        <w:tc>
          <w:tcPr>
            <w:tcW w:w="903" w:type="dxa"/>
            <w:shd w:val="clear" w:color="auto" w:fill="auto"/>
          </w:tcPr>
          <w:p w14:paraId="1E50CD55" w14:textId="77777777" w:rsidR="00C72836" w:rsidRPr="003608CE" w:rsidRDefault="00C72836" w:rsidP="009C357F">
            <w:pPr>
              <w:pStyle w:val="BStablefigures"/>
            </w:pPr>
            <w:r w:rsidRPr="003608CE">
              <w:t xml:space="preserve">950 </w:t>
            </w:r>
          </w:p>
        </w:tc>
        <w:tc>
          <w:tcPr>
            <w:tcW w:w="902" w:type="dxa"/>
            <w:shd w:val="clear" w:color="auto" w:fill="auto"/>
          </w:tcPr>
          <w:p w14:paraId="1CE205AE" w14:textId="77777777" w:rsidR="00C72836" w:rsidRPr="003608CE" w:rsidRDefault="00C72836" w:rsidP="009C357F">
            <w:pPr>
              <w:pStyle w:val="BStablefigures"/>
            </w:pPr>
            <w:r w:rsidRPr="003608CE">
              <w:t xml:space="preserve">0 </w:t>
            </w:r>
          </w:p>
        </w:tc>
        <w:tc>
          <w:tcPr>
            <w:tcW w:w="903" w:type="dxa"/>
            <w:shd w:val="clear" w:color="auto" w:fill="auto"/>
          </w:tcPr>
          <w:p w14:paraId="2600A8D9" w14:textId="77777777" w:rsidR="00C72836" w:rsidRPr="003608CE" w:rsidRDefault="00C72836" w:rsidP="009C357F">
            <w:pPr>
              <w:pStyle w:val="BStablefigures"/>
            </w:pPr>
            <w:r w:rsidRPr="003608CE">
              <w:t xml:space="preserve">0 </w:t>
            </w:r>
          </w:p>
        </w:tc>
        <w:tc>
          <w:tcPr>
            <w:tcW w:w="903" w:type="dxa"/>
            <w:shd w:val="clear" w:color="auto" w:fill="auto"/>
          </w:tcPr>
          <w:p w14:paraId="025A4EFF" w14:textId="77777777" w:rsidR="00C72836" w:rsidRPr="003608CE" w:rsidRDefault="00C72836" w:rsidP="00062636">
            <w:pPr>
              <w:pStyle w:val="BTableHeadingRowRightAligned"/>
              <w:spacing w:line="23" w:lineRule="atLeast"/>
            </w:pPr>
            <w:r w:rsidRPr="003608CE">
              <w:t xml:space="preserve">950 </w:t>
            </w:r>
          </w:p>
        </w:tc>
      </w:tr>
      <w:tr w:rsidR="0017795E" w:rsidRPr="003608CE" w14:paraId="2FE88A12" w14:textId="77777777" w:rsidTr="00BF7598">
        <w:trPr>
          <w:cantSplit/>
          <w:trHeight w:val="227"/>
          <w:jc w:val="center"/>
        </w:trPr>
        <w:tc>
          <w:tcPr>
            <w:tcW w:w="4253" w:type="dxa"/>
            <w:shd w:val="clear" w:color="auto" w:fill="auto"/>
          </w:tcPr>
          <w:p w14:paraId="4F3C3F3E" w14:textId="4A307FC0" w:rsidR="0017795E" w:rsidRPr="003608CE" w:rsidRDefault="0017795E" w:rsidP="009C357F">
            <w:pPr>
              <w:pStyle w:val="BStabletext"/>
            </w:pPr>
            <w:r w:rsidRPr="003608CE">
              <w:t xml:space="preserve">City Centre Marketing and Improvements </w:t>
            </w:r>
            <w:proofErr w:type="gramStart"/>
            <w:r w:rsidRPr="003608CE">
              <w:t>Levy  ̶</w:t>
            </w:r>
            <w:proofErr w:type="gramEnd"/>
            <w:r w:rsidRPr="003608CE">
              <w:t xml:space="preserve">  50</w:t>
            </w:r>
            <w:r w:rsidR="00584A22">
              <w:t> </w:t>
            </w:r>
            <w:r w:rsidRPr="003608CE">
              <w:t>per cent reduction</w:t>
            </w:r>
          </w:p>
        </w:tc>
        <w:tc>
          <w:tcPr>
            <w:tcW w:w="1208" w:type="dxa"/>
            <w:shd w:val="clear" w:color="auto" w:fill="auto"/>
          </w:tcPr>
          <w:p w14:paraId="5553044A" w14:textId="5824C8D5" w:rsidR="0017795E" w:rsidRPr="0052231E" w:rsidRDefault="0017795E" w:rsidP="00062636">
            <w:pPr>
              <w:spacing w:after="0" w:line="23" w:lineRule="atLeast"/>
              <w:jc w:val="center"/>
              <w:rPr>
                <w:sz w:val="16"/>
                <w:szCs w:val="16"/>
              </w:rPr>
            </w:pPr>
            <w:r w:rsidRPr="0052231E">
              <w:rPr>
                <w:sz w:val="16"/>
                <w:szCs w:val="16"/>
              </w:rPr>
              <w:t>Expense</w:t>
            </w:r>
          </w:p>
        </w:tc>
        <w:tc>
          <w:tcPr>
            <w:tcW w:w="902" w:type="dxa"/>
            <w:shd w:val="clear" w:color="auto" w:fill="auto"/>
          </w:tcPr>
          <w:p w14:paraId="6CD871C2" w14:textId="16398965" w:rsidR="0017795E" w:rsidRPr="003608CE" w:rsidRDefault="0017795E" w:rsidP="009C357F">
            <w:pPr>
              <w:pStyle w:val="BStablefigures"/>
            </w:pPr>
            <w:r>
              <w:t>0</w:t>
            </w:r>
          </w:p>
        </w:tc>
        <w:tc>
          <w:tcPr>
            <w:tcW w:w="903" w:type="dxa"/>
            <w:shd w:val="clear" w:color="auto" w:fill="auto"/>
          </w:tcPr>
          <w:p w14:paraId="46910860" w14:textId="1F645429" w:rsidR="0017795E" w:rsidRPr="003608CE" w:rsidRDefault="0017795E" w:rsidP="009C357F">
            <w:pPr>
              <w:pStyle w:val="BStablefigures"/>
            </w:pPr>
            <w:r>
              <w:t>-950</w:t>
            </w:r>
          </w:p>
        </w:tc>
        <w:tc>
          <w:tcPr>
            <w:tcW w:w="902" w:type="dxa"/>
            <w:shd w:val="clear" w:color="auto" w:fill="auto"/>
          </w:tcPr>
          <w:p w14:paraId="44FB301A" w14:textId="66FD76AB" w:rsidR="0017795E" w:rsidRPr="003608CE" w:rsidRDefault="0017795E" w:rsidP="009C357F">
            <w:pPr>
              <w:pStyle w:val="BStablefigures"/>
            </w:pPr>
            <w:r>
              <w:t>0</w:t>
            </w:r>
          </w:p>
        </w:tc>
        <w:tc>
          <w:tcPr>
            <w:tcW w:w="903" w:type="dxa"/>
            <w:shd w:val="clear" w:color="auto" w:fill="auto"/>
          </w:tcPr>
          <w:p w14:paraId="73713E7E" w14:textId="24BE6CCB" w:rsidR="0017795E" w:rsidRPr="003608CE" w:rsidRDefault="0017795E" w:rsidP="009C357F">
            <w:pPr>
              <w:pStyle w:val="BStablefigures"/>
            </w:pPr>
            <w:r>
              <w:t>0</w:t>
            </w:r>
          </w:p>
        </w:tc>
        <w:tc>
          <w:tcPr>
            <w:tcW w:w="903" w:type="dxa"/>
            <w:shd w:val="clear" w:color="auto" w:fill="auto"/>
          </w:tcPr>
          <w:p w14:paraId="5A775AF0" w14:textId="7187F91D" w:rsidR="0017795E" w:rsidRPr="003608CE" w:rsidRDefault="0017795E" w:rsidP="00062636">
            <w:pPr>
              <w:pStyle w:val="BTableHeadingRowRightAligned"/>
              <w:spacing w:line="23" w:lineRule="atLeast"/>
            </w:pPr>
            <w:r>
              <w:t>-950</w:t>
            </w:r>
          </w:p>
        </w:tc>
      </w:tr>
      <w:tr w:rsidR="00C72836" w:rsidRPr="003608CE" w14:paraId="0E2E9FDA" w14:textId="77777777" w:rsidTr="00BF7598">
        <w:trPr>
          <w:cantSplit/>
          <w:trHeight w:val="227"/>
          <w:jc w:val="center"/>
        </w:trPr>
        <w:tc>
          <w:tcPr>
            <w:tcW w:w="4253" w:type="dxa"/>
            <w:shd w:val="clear" w:color="auto" w:fill="auto"/>
          </w:tcPr>
          <w:p w14:paraId="44057079" w14:textId="77777777" w:rsidR="00C72836" w:rsidRPr="003608CE" w:rsidRDefault="00C72836" w:rsidP="009C357F">
            <w:pPr>
              <w:pStyle w:val="BStabletext"/>
            </w:pPr>
            <w:r w:rsidRPr="003608CE">
              <w:t xml:space="preserve">Commercial rates – delay of issuance </w:t>
            </w:r>
          </w:p>
        </w:tc>
        <w:tc>
          <w:tcPr>
            <w:tcW w:w="1208" w:type="dxa"/>
            <w:shd w:val="clear" w:color="auto" w:fill="auto"/>
          </w:tcPr>
          <w:p w14:paraId="1FB8B3E4"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0BD9F4D1" w14:textId="77777777" w:rsidR="00C72836" w:rsidRPr="003608CE" w:rsidRDefault="00C72836" w:rsidP="009C357F">
            <w:pPr>
              <w:pStyle w:val="BStablefigures"/>
            </w:pPr>
            <w:r w:rsidRPr="003608CE">
              <w:t xml:space="preserve">0 </w:t>
            </w:r>
          </w:p>
        </w:tc>
        <w:tc>
          <w:tcPr>
            <w:tcW w:w="903" w:type="dxa"/>
            <w:shd w:val="clear" w:color="auto" w:fill="auto"/>
          </w:tcPr>
          <w:p w14:paraId="4391B83D" w14:textId="77777777" w:rsidR="00C72836" w:rsidRPr="003608CE" w:rsidRDefault="00C72836" w:rsidP="009C357F">
            <w:pPr>
              <w:pStyle w:val="BStablefigures"/>
            </w:pPr>
            <w:r w:rsidRPr="003608CE">
              <w:t xml:space="preserve">0 </w:t>
            </w:r>
          </w:p>
        </w:tc>
        <w:tc>
          <w:tcPr>
            <w:tcW w:w="902" w:type="dxa"/>
            <w:shd w:val="clear" w:color="auto" w:fill="auto"/>
          </w:tcPr>
          <w:p w14:paraId="4855CC7C" w14:textId="77777777" w:rsidR="00C72836" w:rsidRPr="003608CE" w:rsidRDefault="00C72836" w:rsidP="009C357F">
            <w:pPr>
              <w:pStyle w:val="BStablefigures"/>
            </w:pPr>
            <w:r w:rsidRPr="003608CE">
              <w:t xml:space="preserve">0 </w:t>
            </w:r>
          </w:p>
        </w:tc>
        <w:tc>
          <w:tcPr>
            <w:tcW w:w="903" w:type="dxa"/>
            <w:shd w:val="clear" w:color="auto" w:fill="auto"/>
          </w:tcPr>
          <w:p w14:paraId="1E928019" w14:textId="77777777" w:rsidR="00C72836" w:rsidRPr="003608CE" w:rsidRDefault="00C72836" w:rsidP="009C357F">
            <w:pPr>
              <w:pStyle w:val="BStablefigures"/>
            </w:pPr>
            <w:r w:rsidRPr="003608CE">
              <w:t xml:space="preserve">0 </w:t>
            </w:r>
          </w:p>
        </w:tc>
        <w:tc>
          <w:tcPr>
            <w:tcW w:w="903" w:type="dxa"/>
            <w:shd w:val="clear" w:color="auto" w:fill="auto"/>
          </w:tcPr>
          <w:p w14:paraId="75490AC2" w14:textId="77777777" w:rsidR="00C72836" w:rsidRPr="003608CE" w:rsidRDefault="00C72836" w:rsidP="00062636">
            <w:pPr>
              <w:pStyle w:val="BTableHeadingRowRightAligned"/>
              <w:spacing w:line="23" w:lineRule="atLeast"/>
            </w:pPr>
            <w:r w:rsidRPr="003608CE">
              <w:t xml:space="preserve">0 </w:t>
            </w:r>
          </w:p>
        </w:tc>
      </w:tr>
      <w:tr w:rsidR="00C72836" w:rsidRPr="003608CE" w14:paraId="7A8956FA" w14:textId="77777777" w:rsidTr="00BF7598">
        <w:trPr>
          <w:cantSplit/>
          <w:trHeight w:val="227"/>
          <w:jc w:val="center"/>
        </w:trPr>
        <w:tc>
          <w:tcPr>
            <w:tcW w:w="4253" w:type="dxa"/>
            <w:shd w:val="clear" w:color="auto" w:fill="auto"/>
          </w:tcPr>
          <w:p w14:paraId="2DB72CE9" w14:textId="41A1B82D" w:rsidR="00C72836" w:rsidRPr="003608CE" w:rsidRDefault="00C72836" w:rsidP="009C357F">
            <w:pPr>
              <w:pStyle w:val="BStabletext"/>
            </w:pPr>
            <w:r w:rsidRPr="003608CE">
              <w:t>Commercial rates – fixed charge rebate and 2020</w:t>
            </w:r>
            <w:r w:rsidR="00584A22">
              <w:noBreakHyphen/>
            </w:r>
            <w:r w:rsidRPr="003608CE">
              <w:t>21 settings</w:t>
            </w:r>
            <w:r>
              <w:t xml:space="preserve"> </w:t>
            </w:r>
          </w:p>
        </w:tc>
        <w:tc>
          <w:tcPr>
            <w:tcW w:w="1208" w:type="dxa"/>
            <w:shd w:val="clear" w:color="auto" w:fill="auto"/>
          </w:tcPr>
          <w:p w14:paraId="6742C1C1"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07100486" w14:textId="77777777" w:rsidR="00C72836" w:rsidRPr="003608CE" w:rsidRDefault="00C72836" w:rsidP="009C357F">
            <w:pPr>
              <w:pStyle w:val="BStablefigures"/>
            </w:pPr>
            <w:r w:rsidRPr="003608CE">
              <w:t xml:space="preserve">16,200 </w:t>
            </w:r>
          </w:p>
        </w:tc>
        <w:tc>
          <w:tcPr>
            <w:tcW w:w="903" w:type="dxa"/>
            <w:shd w:val="clear" w:color="auto" w:fill="auto"/>
          </w:tcPr>
          <w:p w14:paraId="0C8A4261" w14:textId="77777777" w:rsidR="00C72836" w:rsidRPr="003608CE" w:rsidRDefault="00C72836" w:rsidP="009C357F">
            <w:pPr>
              <w:pStyle w:val="BStablefigures"/>
            </w:pPr>
            <w:r w:rsidRPr="003608CE">
              <w:t xml:space="preserve">6,872 </w:t>
            </w:r>
          </w:p>
        </w:tc>
        <w:tc>
          <w:tcPr>
            <w:tcW w:w="902" w:type="dxa"/>
            <w:shd w:val="clear" w:color="auto" w:fill="auto"/>
          </w:tcPr>
          <w:p w14:paraId="2F213178" w14:textId="77777777" w:rsidR="00C72836" w:rsidRPr="003608CE" w:rsidRDefault="00C72836" w:rsidP="009C357F">
            <w:pPr>
              <w:pStyle w:val="BStablefigures"/>
            </w:pPr>
            <w:r w:rsidRPr="003608CE">
              <w:t xml:space="preserve">7,285 </w:t>
            </w:r>
          </w:p>
        </w:tc>
        <w:tc>
          <w:tcPr>
            <w:tcW w:w="903" w:type="dxa"/>
            <w:shd w:val="clear" w:color="auto" w:fill="auto"/>
          </w:tcPr>
          <w:p w14:paraId="2773A535" w14:textId="77777777" w:rsidR="00C72836" w:rsidRPr="003608CE" w:rsidRDefault="00C72836" w:rsidP="009C357F">
            <w:pPr>
              <w:pStyle w:val="BStablefigures"/>
            </w:pPr>
            <w:r w:rsidRPr="003608CE">
              <w:t xml:space="preserve">7,722 </w:t>
            </w:r>
          </w:p>
        </w:tc>
        <w:tc>
          <w:tcPr>
            <w:tcW w:w="903" w:type="dxa"/>
            <w:shd w:val="clear" w:color="auto" w:fill="auto"/>
          </w:tcPr>
          <w:p w14:paraId="1A95A937" w14:textId="77777777" w:rsidR="00C72836" w:rsidRPr="003608CE" w:rsidRDefault="00C72836" w:rsidP="00062636">
            <w:pPr>
              <w:pStyle w:val="BTableHeadingRowRightAligned"/>
              <w:spacing w:line="23" w:lineRule="atLeast"/>
            </w:pPr>
            <w:r w:rsidRPr="003608CE">
              <w:t xml:space="preserve">38,079 </w:t>
            </w:r>
          </w:p>
        </w:tc>
      </w:tr>
      <w:tr w:rsidR="00C72836" w:rsidRPr="003608CE" w14:paraId="318B2B08" w14:textId="77777777" w:rsidTr="00BF7598">
        <w:trPr>
          <w:cantSplit/>
          <w:trHeight w:val="227"/>
          <w:jc w:val="center"/>
        </w:trPr>
        <w:tc>
          <w:tcPr>
            <w:tcW w:w="4253" w:type="dxa"/>
            <w:shd w:val="clear" w:color="auto" w:fill="auto"/>
          </w:tcPr>
          <w:p w14:paraId="01DAB746" w14:textId="77777777" w:rsidR="00C72836" w:rsidRPr="003608CE" w:rsidRDefault="00C72836" w:rsidP="009C357F">
            <w:pPr>
              <w:pStyle w:val="BStabletext"/>
            </w:pPr>
            <w:r w:rsidRPr="003608CE">
              <w:t>Commercial rates – hardship deferrals</w:t>
            </w:r>
          </w:p>
        </w:tc>
        <w:tc>
          <w:tcPr>
            <w:tcW w:w="1208" w:type="dxa"/>
            <w:shd w:val="clear" w:color="auto" w:fill="auto"/>
          </w:tcPr>
          <w:p w14:paraId="3EB5B50C"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5BEF652D" w14:textId="77777777" w:rsidR="00C72836" w:rsidRPr="003608CE" w:rsidRDefault="00C72836" w:rsidP="009C357F">
            <w:pPr>
              <w:pStyle w:val="BStablefigures"/>
            </w:pPr>
            <w:r>
              <w:t>~</w:t>
            </w:r>
            <w:r w:rsidRPr="003608CE">
              <w:t xml:space="preserve"> </w:t>
            </w:r>
          </w:p>
        </w:tc>
        <w:tc>
          <w:tcPr>
            <w:tcW w:w="903" w:type="dxa"/>
            <w:shd w:val="clear" w:color="auto" w:fill="auto"/>
          </w:tcPr>
          <w:p w14:paraId="0A095BB3" w14:textId="77777777" w:rsidR="00C72836" w:rsidRPr="003608CE" w:rsidRDefault="00C72836" w:rsidP="009C357F">
            <w:pPr>
              <w:pStyle w:val="BStablefigures"/>
            </w:pPr>
            <w:r>
              <w:t>~</w:t>
            </w:r>
            <w:r w:rsidRPr="003608CE">
              <w:t xml:space="preserve"> </w:t>
            </w:r>
          </w:p>
        </w:tc>
        <w:tc>
          <w:tcPr>
            <w:tcW w:w="902" w:type="dxa"/>
            <w:shd w:val="clear" w:color="auto" w:fill="auto"/>
          </w:tcPr>
          <w:p w14:paraId="240F882B" w14:textId="77777777" w:rsidR="00C72836" w:rsidRPr="003608CE" w:rsidRDefault="00C72836" w:rsidP="009C357F">
            <w:pPr>
              <w:pStyle w:val="BStablefigures"/>
            </w:pPr>
            <w:r w:rsidRPr="003608CE">
              <w:t xml:space="preserve">0 </w:t>
            </w:r>
          </w:p>
        </w:tc>
        <w:tc>
          <w:tcPr>
            <w:tcW w:w="903" w:type="dxa"/>
            <w:shd w:val="clear" w:color="auto" w:fill="auto"/>
          </w:tcPr>
          <w:p w14:paraId="02E79E8F" w14:textId="77777777" w:rsidR="00C72836" w:rsidRPr="003608CE" w:rsidRDefault="00C72836" w:rsidP="009C357F">
            <w:pPr>
              <w:pStyle w:val="BStablefigures"/>
            </w:pPr>
            <w:r w:rsidRPr="003608CE">
              <w:t xml:space="preserve">0 </w:t>
            </w:r>
          </w:p>
        </w:tc>
        <w:tc>
          <w:tcPr>
            <w:tcW w:w="903" w:type="dxa"/>
            <w:shd w:val="clear" w:color="auto" w:fill="auto"/>
          </w:tcPr>
          <w:p w14:paraId="0ABA8BA0" w14:textId="77777777" w:rsidR="00C72836" w:rsidRPr="003608CE" w:rsidRDefault="00C72836" w:rsidP="00062636">
            <w:pPr>
              <w:pStyle w:val="BTableHeadingRowRightAligned"/>
              <w:spacing w:line="23" w:lineRule="atLeast"/>
            </w:pPr>
            <w:r>
              <w:t>~</w:t>
            </w:r>
            <w:r w:rsidRPr="003608CE">
              <w:t xml:space="preserve"> </w:t>
            </w:r>
          </w:p>
        </w:tc>
      </w:tr>
      <w:tr w:rsidR="00C72836" w:rsidRPr="003608CE" w14:paraId="65051811" w14:textId="77777777" w:rsidTr="00BF7598">
        <w:trPr>
          <w:cantSplit/>
          <w:trHeight w:val="227"/>
          <w:jc w:val="center"/>
        </w:trPr>
        <w:tc>
          <w:tcPr>
            <w:tcW w:w="4253" w:type="dxa"/>
            <w:shd w:val="clear" w:color="auto" w:fill="auto"/>
          </w:tcPr>
          <w:p w14:paraId="42FE9B54" w14:textId="74235E80" w:rsidR="00C72836" w:rsidRPr="003608CE" w:rsidRDefault="00C72836" w:rsidP="009C357F">
            <w:pPr>
              <w:pStyle w:val="BStabletext"/>
            </w:pPr>
            <w:r w:rsidRPr="003608CE">
              <w:t>Commercial rates – rental relief and owner</w:t>
            </w:r>
            <w:r w:rsidR="00584A22">
              <w:noBreakHyphen/>
            </w:r>
            <w:r w:rsidRPr="003608CE">
              <w:t>occupier rebate scheme</w:t>
            </w:r>
            <w:r>
              <w:t xml:space="preserve"> </w:t>
            </w:r>
          </w:p>
        </w:tc>
        <w:tc>
          <w:tcPr>
            <w:tcW w:w="1208" w:type="dxa"/>
            <w:shd w:val="clear" w:color="auto" w:fill="auto"/>
          </w:tcPr>
          <w:p w14:paraId="3C99B068"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6F11617E" w14:textId="77777777" w:rsidR="00C72836" w:rsidRPr="003608CE" w:rsidRDefault="00C72836" w:rsidP="009C357F">
            <w:pPr>
              <w:pStyle w:val="BStablefigures"/>
            </w:pPr>
            <w:r w:rsidRPr="003608CE">
              <w:t xml:space="preserve">6,250 </w:t>
            </w:r>
          </w:p>
        </w:tc>
        <w:tc>
          <w:tcPr>
            <w:tcW w:w="903" w:type="dxa"/>
            <w:shd w:val="clear" w:color="auto" w:fill="auto"/>
          </w:tcPr>
          <w:p w14:paraId="08D60534" w14:textId="77777777" w:rsidR="00C72836" w:rsidRPr="003608CE" w:rsidRDefault="00C72836" w:rsidP="009C357F">
            <w:pPr>
              <w:pStyle w:val="BStablefigures"/>
            </w:pPr>
            <w:r w:rsidRPr="003608CE">
              <w:t xml:space="preserve">6,250 </w:t>
            </w:r>
          </w:p>
        </w:tc>
        <w:tc>
          <w:tcPr>
            <w:tcW w:w="902" w:type="dxa"/>
            <w:shd w:val="clear" w:color="auto" w:fill="auto"/>
          </w:tcPr>
          <w:p w14:paraId="15925B0F" w14:textId="77777777" w:rsidR="00C72836" w:rsidRPr="003608CE" w:rsidRDefault="00C72836" w:rsidP="009C357F">
            <w:pPr>
              <w:pStyle w:val="BStablefigures"/>
            </w:pPr>
            <w:r w:rsidRPr="003608CE">
              <w:t xml:space="preserve">0 </w:t>
            </w:r>
          </w:p>
        </w:tc>
        <w:tc>
          <w:tcPr>
            <w:tcW w:w="903" w:type="dxa"/>
            <w:shd w:val="clear" w:color="auto" w:fill="auto"/>
          </w:tcPr>
          <w:p w14:paraId="2ABC06A6" w14:textId="77777777" w:rsidR="00C72836" w:rsidRPr="003608CE" w:rsidRDefault="00C72836" w:rsidP="009C357F">
            <w:pPr>
              <w:pStyle w:val="BStablefigures"/>
            </w:pPr>
            <w:r w:rsidRPr="003608CE">
              <w:t xml:space="preserve">0 </w:t>
            </w:r>
          </w:p>
        </w:tc>
        <w:tc>
          <w:tcPr>
            <w:tcW w:w="903" w:type="dxa"/>
            <w:shd w:val="clear" w:color="auto" w:fill="auto"/>
          </w:tcPr>
          <w:p w14:paraId="0A57CAA0" w14:textId="77777777" w:rsidR="00C72836" w:rsidRPr="003608CE" w:rsidRDefault="00C72836" w:rsidP="00062636">
            <w:pPr>
              <w:pStyle w:val="BTableHeadingRowRightAligned"/>
              <w:spacing w:line="23" w:lineRule="atLeast"/>
            </w:pPr>
            <w:r w:rsidRPr="003608CE">
              <w:t xml:space="preserve">12,500 </w:t>
            </w:r>
          </w:p>
        </w:tc>
      </w:tr>
      <w:tr w:rsidR="00C72836" w:rsidRPr="003608CE" w14:paraId="0EEEF36F" w14:textId="77777777" w:rsidTr="00BF7598">
        <w:trPr>
          <w:cantSplit/>
          <w:trHeight w:val="227"/>
          <w:jc w:val="center"/>
        </w:trPr>
        <w:tc>
          <w:tcPr>
            <w:tcW w:w="4253" w:type="dxa"/>
            <w:shd w:val="clear" w:color="auto" w:fill="auto"/>
          </w:tcPr>
          <w:p w14:paraId="0F792A02" w14:textId="77777777" w:rsidR="00C72836" w:rsidRPr="003608CE" w:rsidRDefault="00C72836" w:rsidP="009C357F">
            <w:pPr>
              <w:pStyle w:val="BStabletext"/>
            </w:pPr>
            <w:r w:rsidRPr="003608CE">
              <w:t>Early payment of invoices</w:t>
            </w:r>
          </w:p>
        </w:tc>
        <w:tc>
          <w:tcPr>
            <w:tcW w:w="1208" w:type="dxa"/>
            <w:shd w:val="clear" w:color="auto" w:fill="auto"/>
          </w:tcPr>
          <w:p w14:paraId="364D3C6F"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4C144085" w14:textId="77777777" w:rsidR="00C72836" w:rsidRPr="003608CE" w:rsidRDefault="00C72836" w:rsidP="009C357F">
            <w:pPr>
              <w:pStyle w:val="BStablefigures"/>
            </w:pPr>
            <w:r w:rsidRPr="003608CE">
              <w:t>~</w:t>
            </w:r>
          </w:p>
        </w:tc>
        <w:tc>
          <w:tcPr>
            <w:tcW w:w="903" w:type="dxa"/>
            <w:shd w:val="clear" w:color="auto" w:fill="auto"/>
          </w:tcPr>
          <w:p w14:paraId="3FFC121F" w14:textId="77777777" w:rsidR="00C72836" w:rsidRPr="003608CE" w:rsidRDefault="00C72836" w:rsidP="009C357F">
            <w:pPr>
              <w:pStyle w:val="BStablefigures"/>
            </w:pPr>
            <w:r w:rsidRPr="003608CE">
              <w:t>~</w:t>
            </w:r>
          </w:p>
        </w:tc>
        <w:tc>
          <w:tcPr>
            <w:tcW w:w="902" w:type="dxa"/>
            <w:shd w:val="clear" w:color="auto" w:fill="auto"/>
          </w:tcPr>
          <w:p w14:paraId="44500701" w14:textId="77777777" w:rsidR="00C72836" w:rsidRPr="003608CE" w:rsidRDefault="00C72836" w:rsidP="009C357F">
            <w:pPr>
              <w:pStyle w:val="BStablefigures"/>
            </w:pPr>
            <w:r w:rsidRPr="003608CE">
              <w:t xml:space="preserve">0 </w:t>
            </w:r>
          </w:p>
        </w:tc>
        <w:tc>
          <w:tcPr>
            <w:tcW w:w="903" w:type="dxa"/>
            <w:shd w:val="clear" w:color="auto" w:fill="auto"/>
          </w:tcPr>
          <w:p w14:paraId="4D297FBD" w14:textId="77777777" w:rsidR="00C72836" w:rsidRPr="003608CE" w:rsidRDefault="00C72836" w:rsidP="009C357F">
            <w:pPr>
              <w:pStyle w:val="BStablefigures"/>
            </w:pPr>
            <w:r w:rsidRPr="003608CE">
              <w:t xml:space="preserve">0 </w:t>
            </w:r>
          </w:p>
        </w:tc>
        <w:tc>
          <w:tcPr>
            <w:tcW w:w="903" w:type="dxa"/>
            <w:shd w:val="clear" w:color="auto" w:fill="auto"/>
          </w:tcPr>
          <w:p w14:paraId="4C164F59" w14:textId="77777777" w:rsidR="00C72836" w:rsidRPr="003608CE" w:rsidRDefault="00C72836" w:rsidP="00062636">
            <w:pPr>
              <w:pStyle w:val="BTableHeadingRowRightAligned"/>
              <w:spacing w:line="23" w:lineRule="atLeast"/>
            </w:pPr>
            <w:r w:rsidRPr="003608CE">
              <w:t>~</w:t>
            </w:r>
          </w:p>
        </w:tc>
      </w:tr>
      <w:tr w:rsidR="00C72836" w:rsidRPr="003608CE" w14:paraId="67CC1309" w14:textId="77777777" w:rsidTr="00BF7598">
        <w:trPr>
          <w:cantSplit/>
          <w:trHeight w:val="227"/>
          <w:jc w:val="center"/>
        </w:trPr>
        <w:tc>
          <w:tcPr>
            <w:tcW w:w="4253" w:type="dxa"/>
            <w:shd w:val="clear" w:color="auto" w:fill="auto"/>
          </w:tcPr>
          <w:p w14:paraId="7FFDA497" w14:textId="77777777" w:rsidR="00C72836" w:rsidRPr="003608CE" w:rsidRDefault="00C72836" w:rsidP="009C357F">
            <w:pPr>
              <w:pStyle w:val="BStabletext"/>
            </w:pPr>
            <w:r w:rsidRPr="003608CE">
              <w:t>Expediting development application and unit titling approvals</w:t>
            </w:r>
          </w:p>
        </w:tc>
        <w:tc>
          <w:tcPr>
            <w:tcW w:w="1208" w:type="dxa"/>
            <w:shd w:val="clear" w:color="auto" w:fill="auto"/>
          </w:tcPr>
          <w:p w14:paraId="40A028B2"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5B46079C" w14:textId="77777777" w:rsidR="00C72836" w:rsidRPr="003608CE" w:rsidRDefault="00C72836" w:rsidP="009C357F">
            <w:pPr>
              <w:pStyle w:val="BStablefigures"/>
            </w:pPr>
            <w:r w:rsidRPr="003608CE">
              <w:t xml:space="preserve">0 </w:t>
            </w:r>
          </w:p>
        </w:tc>
        <w:tc>
          <w:tcPr>
            <w:tcW w:w="903" w:type="dxa"/>
            <w:shd w:val="clear" w:color="auto" w:fill="auto"/>
          </w:tcPr>
          <w:p w14:paraId="289EC86F" w14:textId="77777777" w:rsidR="00C72836" w:rsidRPr="003608CE" w:rsidRDefault="00C72836" w:rsidP="009C357F">
            <w:pPr>
              <w:pStyle w:val="BStablefigures"/>
            </w:pPr>
            <w:r w:rsidRPr="003608CE">
              <w:t xml:space="preserve">475 </w:t>
            </w:r>
          </w:p>
        </w:tc>
        <w:tc>
          <w:tcPr>
            <w:tcW w:w="902" w:type="dxa"/>
            <w:shd w:val="clear" w:color="auto" w:fill="auto"/>
          </w:tcPr>
          <w:p w14:paraId="6E7C1F37" w14:textId="77777777" w:rsidR="00C72836" w:rsidRPr="003608CE" w:rsidRDefault="00C72836" w:rsidP="009C357F">
            <w:pPr>
              <w:pStyle w:val="BStablefigures"/>
            </w:pPr>
            <w:r w:rsidRPr="003608CE">
              <w:t xml:space="preserve">490 </w:t>
            </w:r>
          </w:p>
        </w:tc>
        <w:tc>
          <w:tcPr>
            <w:tcW w:w="903" w:type="dxa"/>
            <w:shd w:val="clear" w:color="auto" w:fill="auto"/>
          </w:tcPr>
          <w:p w14:paraId="2AC67977" w14:textId="77777777" w:rsidR="00C72836" w:rsidRPr="003608CE" w:rsidRDefault="00C72836" w:rsidP="009C357F">
            <w:pPr>
              <w:pStyle w:val="BStablefigures"/>
            </w:pPr>
            <w:r w:rsidRPr="003608CE">
              <w:t xml:space="preserve">503 </w:t>
            </w:r>
          </w:p>
        </w:tc>
        <w:tc>
          <w:tcPr>
            <w:tcW w:w="903" w:type="dxa"/>
            <w:shd w:val="clear" w:color="auto" w:fill="auto"/>
          </w:tcPr>
          <w:p w14:paraId="1B2EA712" w14:textId="77777777" w:rsidR="00C72836" w:rsidRPr="003608CE" w:rsidRDefault="00C72836" w:rsidP="00062636">
            <w:pPr>
              <w:pStyle w:val="BTableHeadingRowRightAligned"/>
              <w:spacing w:line="23" w:lineRule="atLeast"/>
            </w:pPr>
            <w:r w:rsidRPr="003608CE">
              <w:t xml:space="preserve">1,468 </w:t>
            </w:r>
          </w:p>
        </w:tc>
      </w:tr>
      <w:tr w:rsidR="00C72836" w:rsidRPr="003608CE" w14:paraId="5BED147B" w14:textId="77777777" w:rsidTr="00BF7598">
        <w:trPr>
          <w:cantSplit/>
          <w:trHeight w:val="227"/>
          <w:jc w:val="center"/>
        </w:trPr>
        <w:tc>
          <w:tcPr>
            <w:tcW w:w="4253" w:type="dxa"/>
            <w:shd w:val="clear" w:color="auto" w:fill="auto"/>
          </w:tcPr>
          <w:p w14:paraId="1B0334A3" w14:textId="77777777" w:rsidR="00C72836" w:rsidRPr="003608CE" w:rsidRDefault="00C72836" w:rsidP="009C357F">
            <w:pPr>
              <w:pStyle w:val="BStabletext"/>
            </w:pPr>
            <w:r w:rsidRPr="003608CE">
              <w:t>Extending taxi industry support to lessees of privately</w:t>
            </w:r>
            <w:r>
              <w:noBreakHyphen/>
            </w:r>
            <w:r w:rsidRPr="003608CE">
              <w:t xml:space="preserve">owned plates </w:t>
            </w:r>
          </w:p>
        </w:tc>
        <w:tc>
          <w:tcPr>
            <w:tcW w:w="1208" w:type="dxa"/>
            <w:shd w:val="clear" w:color="auto" w:fill="auto"/>
          </w:tcPr>
          <w:p w14:paraId="6507080F"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59CD2627" w14:textId="77777777" w:rsidR="00C72836" w:rsidRPr="003608CE" w:rsidRDefault="00C72836" w:rsidP="009C357F">
            <w:pPr>
              <w:pStyle w:val="BStablefigures"/>
            </w:pPr>
            <w:r w:rsidRPr="003608CE">
              <w:t xml:space="preserve">810 </w:t>
            </w:r>
          </w:p>
        </w:tc>
        <w:tc>
          <w:tcPr>
            <w:tcW w:w="903" w:type="dxa"/>
            <w:shd w:val="clear" w:color="auto" w:fill="auto"/>
          </w:tcPr>
          <w:p w14:paraId="2E3D85EE" w14:textId="77777777" w:rsidR="00C72836" w:rsidRPr="003608CE" w:rsidRDefault="00C72836" w:rsidP="009C357F">
            <w:pPr>
              <w:pStyle w:val="BStablefigures"/>
            </w:pPr>
            <w:r w:rsidRPr="003608CE">
              <w:t xml:space="preserve">0 </w:t>
            </w:r>
          </w:p>
        </w:tc>
        <w:tc>
          <w:tcPr>
            <w:tcW w:w="902" w:type="dxa"/>
            <w:shd w:val="clear" w:color="auto" w:fill="auto"/>
          </w:tcPr>
          <w:p w14:paraId="0947B42F" w14:textId="77777777" w:rsidR="00C72836" w:rsidRPr="003608CE" w:rsidRDefault="00C72836" w:rsidP="009C357F">
            <w:pPr>
              <w:pStyle w:val="BStablefigures"/>
            </w:pPr>
            <w:r w:rsidRPr="003608CE">
              <w:t xml:space="preserve">0 </w:t>
            </w:r>
          </w:p>
        </w:tc>
        <w:tc>
          <w:tcPr>
            <w:tcW w:w="903" w:type="dxa"/>
            <w:shd w:val="clear" w:color="auto" w:fill="auto"/>
          </w:tcPr>
          <w:p w14:paraId="1ED835CF" w14:textId="77777777" w:rsidR="00C72836" w:rsidRPr="003608CE" w:rsidRDefault="00C72836" w:rsidP="009C357F">
            <w:pPr>
              <w:pStyle w:val="BStablefigures"/>
            </w:pPr>
            <w:r w:rsidRPr="003608CE">
              <w:t xml:space="preserve">0 </w:t>
            </w:r>
          </w:p>
        </w:tc>
        <w:tc>
          <w:tcPr>
            <w:tcW w:w="903" w:type="dxa"/>
            <w:shd w:val="clear" w:color="auto" w:fill="auto"/>
          </w:tcPr>
          <w:p w14:paraId="67950BA8" w14:textId="77777777" w:rsidR="00C72836" w:rsidRPr="003608CE" w:rsidRDefault="00C72836" w:rsidP="00062636">
            <w:pPr>
              <w:pStyle w:val="BTableHeadingRowRightAligned"/>
              <w:spacing w:line="23" w:lineRule="atLeast"/>
            </w:pPr>
            <w:r w:rsidRPr="003608CE">
              <w:t xml:space="preserve">810 </w:t>
            </w:r>
          </w:p>
        </w:tc>
      </w:tr>
      <w:tr w:rsidR="00C72836" w:rsidRPr="003608CE" w14:paraId="5559A83F" w14:textId="77777777" w:rsidTr="00BF7598">
        <w:trPr>
          <w:cantSplit/>
          <w:trHeight w:val="227"/>
          <w:jc w:val="center"/>
        </w:trPr>
        <w:tc>
          <w:tcPr>
            <w:tcW w:w="4253" w:type="dxa"/>
            <w:shd w:val="clear" w:color="auto" w:fill="auto"/>
          </w:tcPr>
          <w:p w14:paraId="31379477" w14:textId="141034AB" w:rsidR="00C72836" w:rsidRPr="003608CE" w:rsidRDefault="00C72836" w:rsidP="009C357F">
            <w:pPr>
              <w:pStyle w:val="BStabletext"/>
            </w:pPr>
            <w:r w:rsidRPr="003608CE">
              <w:t xml:space="preserve">Fee reduction – </w:t>
            </w:r>
            <w:r>
              <w:t>o</w:t>
            </w:r>
            <w:r w:rsidRPr="003608CE">
              <w:t>ne-year waiver for food business registration, outdoor dining and liquor licensing fees</w:t>
            </w:r>
            <w:r>
              <w:t xml:space="preserve"> </w:t>
            </w:r>
          </w:p>
        </w:tc>
        <w:tc>
          <w:tcPr>
            <w:tcW w:w="1208" w:type="dxa"/>
            <w:shd w:val="clear" w:color="auto" w:fill="auto"/>
          </w:tcPr>
          <w:p w14:paraId="3C4774A5"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1C52A87F" w14:textId="77777777" w:rsidR="00C72836" w:rsidRPr="003608CE" w:rsidRDefault="00C72836" w:rsidP="009C357F">
            <w:pPr>
              <w:pStyle w:val="BStablefigures"/>
            </w:pPr>
            <w:r w:rsidRPr="003608CE">
              <w:t xml:space="preserve">1,200 </w:t>
            </w:r>
          </w:p>
        </w:tc>
        <w:tc>
          <w:tcPr>
            <w:tcW w:w="903" w:type="dxa"/>
            <w:shd w:val="clear" w:color="auto" w:fill="auto"/>
          </w:tcPr>
          <w:p w14:paraId="2A16DFB6" w14:textId="77777777" w:rsidR="00C72836" w:rsidRPr="003608CE" w:rsidRDefault="00C72836" w:rsidP="009C357F">
            <w:pPr>
              <w:pStyle w:val="BStablefigures"/>
            </w:pPr>
            <w:r w:rsidRPr="003608CE">
              <w:t xml:space="preserve">3,978 </w:t>
            </w:r>
          </w:p>
        </w:tc>
        <w:tc>
          <w:tcPr>
            <w:tcW w:w="902" w:type="dxa"/>
            <w:shd w:val="clear" w:color="auto" w:fill="auto"/>
          </w:tcPr>
          <w:p w14:paraId="4A911F36" w14:textId="77777777" w:rsidR="00C72836" w:rsidRPr="003608CE" w:rsidRDefault="00C72836" w:rsidP="009C357F">
            <w:pPr>
              <w:pStyle w:val="BStablefigures"/>
            </w:pPr>
            <w:r w:rsidRPr="003608CE">
              <w:t xml:space="preserve">0 </w:t>
            </w:r>
          </w:p>
        </w:tc>
        <w:tc>
          <w:tcPr>
            <w:tcW w:w="903" w:type="dxa"/>
            <w:shd w:val="clear" w:color="auto" w:fill="auto"/>
          </w:tcPr>
          <w:p w14:paraId="3C672925" w14:textId="77777777" w:rsidR="00C72836" w:rsidRPr="003608CE" w:rsidRDefault="00C72836" w:rsidP="009C357F">
            <w:pPr>
              <w:pStyle w:val="BStablefigures"/>
            </w:pPr>
            <w:r w:rsidRPr="003608CE">
              <w:t xml:space="preserve">0 </w:t>
            </w:r>
          </w:p>
        </w:tc>
        <w:tc>
          <w:tcPr>
            <w:tcW w:w="903" w:type="dxa"/>
            <w:shd w:val="clear" w:color="auto" w:fill="auto"/>
          </w:tcPr>
          <w:p w14:paraId="5CA231B4" w14:textId="77777777" w:rsidR="00C72836" w:rsidRPr="003608CE" w:rsidRDefault="00C72836" w:rsidP="00062636">
            <w:pPr>
              <w:pStyle w:val="BTableHeadingRowRightAligned"/>
              <w:spacing w:line="23" w:lineRule="atLeast"/>
            </w:pPr>
            <w:r w:rsidRPr="003608CE">
              <w:t xml:space="preserve">5,178 </w:t>
            </w:r>
          </w:p>
        </w:tc>
      </w:tr>
      <w:tr w:rsidR="00C72836" w:rsidRPr="003608CE" w14:paraId="42F15DE6" w14:textId="77777777" w:rsidTr="00BF7598">
        <w:trPr>
          <w:cantSplit/>
          <w:trHeight w:val="227"/>
          <w:jc w:val="center"/>
        </w:trPr>
        <w:tc>
          <w:tcPr>
            <w:tcW w:w="4253" w:type="dxa"/>
            <w:shd w:val="clear" w:color="auto" w:fill="auto"/>
          </w:tcPr>
          <w:p w14:paraId="6B985B44" w14:textId="6309C123" w:rsidR="00C72836" w:rsidRPr="003608CE" w:rsidRDefault="00C72836" w:rsidP="009C357F">
            <w:pPr>
              <w:pStyle w:val="BStabletext"/>
            </w:pPr>
            <w:r w:rsidRPr="003608CE">
              <w:t xml:space="preserve">Fee reduction – </w:t>
            </w:r>
            <w:r>
              <w:t>one-year w</w:t>
            </w:r>
            <w:r w:rsidRPr="003608CE">
              <w:t xml:space="preserve">aiver </w:t>
            </w:r>
            <w:r w:rsidR="00931EFB">
              <w:t>for</w:t>
            </w:r>
            <w:r w:rsidRPr="003608CE">
              <w:t xml:space="preserve"> other business fees</w:t>
            </w:r>
            <w:r>
              <w:t xml:space="preserve"> </w:t>
            </w:r>
          </w:p>
        </w:tc>
        <w:tc>
          <w:tcPr>
            <w:tcW w:w="1208" w:type="dxa"/>
            <w:shd w:val="clear" w:color="auto" w:fill="auto"/>
          </w:tcPr>
          <w:p w14:paraId="4EF22C80"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3BA1FA73" w14:textId="77777777" w:rsidR="00C72836" w:rsidRPr="003608CE" w:rsidRDefault="00C72836" w:rsidP="009C357F">
            <w:pPr>
              <w:pStyle w:val="BStablefigures"/>
            </w:pPr>
            <w:r w:rsidRPr="003608CE">
              <w:t xml:space="preserve">29 </w:t>
            </w:r>
          </w:p>
        </w:tc>
        <w:tc>
          <w:tcPr>
            <w:tcW w:w="903" w:type="dxa"/>
            <w:shd w:val="clear" w:color="auto" w:fill="auto"/>
          </w:tcPr>
          <w:p w14:paraId="5011E059" w14:textId="77777777" w:rsidR="00C72836" w:rsidRPr="003608CE" w:rsidRDefault="00C72836" w:rsidP="009C357F">
            <w:pPr>
              <w:pStyle w:val="BStablefigures"/>
            </w:pPr>
            <w:r w:rsidRPr="003608CE">
              <w:t xml:space="preserve">89 </w:t>
            </w:r>
          </w:p>
        </w:tc>
        <w:tc>
          <w:tcPr>
            <w:tcW w:w="902" w:type="dxa"/>
            <w:shd w:val="clear" w:color="auto" w:fill="auto"/>
          </w:tcPr>
          <w:p w14:paraId="58D8969D" w14:textId="77777777" w:rsidR="00C72836" w:rsidRPr="003608CE" w:rsidRDefault="00C72836" w:rsidP="009C357F">
            <w:pPr>
              <w:pStyle w:val="BStablefigures"/>
            </w:pPr>
            <w:r w:rsidRPr="003608CE">
              <w:t xml:space="preserve">0 </w:t>
            </w:r>
          </w:p>
        </w:tc>
        <w:tc>
          <w:tcPr>
            <w:tcW w:w="903" w:type="dxa"/>
            <w:shd w:val="clear" w:color="auto" w:fill="auto"/>
          </w:tcPr>
          <w:p w14:paraId="0816EE8A" w14:textId="77777777" w:rsidR="00C72836" w:rsidRPr="003608CE" w:rsidRDefault="00C72836" w:rsidP="009C357F">
            <w:pPr>
              <w:pStyle w:val="BStablefigures"/>
            </w:pPr>
            <w:r w:rsidRPr="003608CE">
              <w:t xml:space="preserve">0 </w:t>
            </w:r>
          </w:p>
        </w:tc>
        <w:tc>
          <w:tcPr>
            <w:tcW w:w="903" w:type="dxa"/>
            <w:shd w:val="clear" w:color="auto" w:fill="auto"/>
          </w:tcPr>
          <w:p w14:paraId="72C9CE04" w14:textId="77777777" w:rsidR="00C72836" w:rsidRPr="003608CE" w:rsidRDefault="00C72836" w:rsidP="00062636">
            <w:pPr>
              <w:pStyle w:val="BTableHeadingRowRightAligned"/>
              <w:spacing w:line="23" w:lineRule="atLeast"/>
            </w:pPr>
            <w:r w:rsidRPr="003608CE">
              <w:t xml:space="preserve">118 </w:t>
            </w:r>
          </w:p>
        </w:tc>
      </w:tr>
      <w:tr w:rsidR="00C72836" w:rsidRPr="003608CE" w14:paraId="6F9E58D7" w14:textId="77777777" w:rsidTr="00BF7598">
        <w:trPr>
          <w:cantSplit/>
          <w:trHeight w:val="227"/>
          <w:jc w:val="center"/>
        </w:trPr>
        <w:tc>
          <w:tcPr>
            <w:tcW w:w="4253" w:type="dxa"/>
            <w:shd w:val="clear" w:color="auto" w:fill="auto"/>
          </w:tcPr>
          <w:p w14:paraId="40AC1081" w14:textId="7833269B" w:rsidR="00C72836" w:rsidRPr="003608CE" w:rsidRDefault="00C72836" w:rsidP="009C357F">
            <w:pPr>
              <w:pStyle w:val="BStabletext"/>
            </w:pPr>
            <w:r w:rsidRPr="003608CE">
              <w:t xml:space="preserve">Fee reduction – </w:t>
            </w:r>
            <w:r>
              <w:t>o</w:t>
            </w:r>
            <w:r w:rsidRPr="003608CE">
              <w:t>ne-year waiver for ride share and hire car fees</w:t>
            </w:r>
            <w:r>
              <w:t xml:space="preserve"> </w:t>
            </w:r>
          </w:p>
        </w:tc>
        <w:tc>
          <w:tcPr>
            <w:tcW w:w="1208" w:type="dxa"/>
            <w:shd w:val="clear" w:color="auto" w:fill="auto"/>
          </w:tcPr>
          <w:p w14:paraId="2401F770"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7A7E3D9B" w14:textId="77777777" w:rsidR="00C72836" w:rsidRPr="003608CE" w:rsidRDefault="00C72836" w:rsidP="009C357F">
            <w:pPr>
              <w:pStyle w:val="BStablefigures"/>
            </w:pPr>
            <w:r w:rsidRPr="003608CE">
              <w:t xml:space="preserve">55 </w:t>
            </w:r>
          </w:p>
        </w:tc>
        <w:tc>
          <w:tcPr>
            <w:tcW w:w="903" w:type="dxa"/>
            <w:shd w:val="clear" w:color="auto" w:fill="auto"/>
          </w:tcPr>
          <w:p w14:paraId="580E4CCE" w14:textId="77777777" w:rsidR="00C72836" w:rsidRPr="003608CE" w:rsidRDefault="00C72836" w:rsidP="009C357F">
            <w:pPr>
              <w:pStyle w:val="BStablefigures"/>
            </w:pPr>
            <w:r w:rsidRPr="003608CE">
              <w:t xml:space="preserve">155 </w:t>
            </w:r>
          </w:p>
        </w:tc>
        <w:tc>
          <w:tcPr>
            <w:tcW w:w="902" w:type="dxa"/>
            <w:shd w:val="clear" w:color="auto" w:fill="auto"/>
          </w:tcPr>
          <w:p w14:paraId="37A57173" w14:textId="77777777" w:rsidR="00C72836" w:rsidRPr="003608CE" w:rsidRDefault="00C72836" w:rsidP="009C357F">
            <w:pPr>
              <w:pStyle w:val="BStablefigures"/>
            </w:pPr>
            <w:r w:rsidRPr="003608CE">
              <w:t xml:space="preserve">0 </w:t>
            </w:r>
          </w:p>
        </w:tc>
        <w:tc>
          <w:tcPr>
            <w:tcW w:w="903" w:type="dxa"/>
            <w:shd w:val="clear" w:color="auto" w:fill="auto"/>
          </w:tcPr>
          <w:p w14:paraId="60FE10DB" w14:textId="77777777" w:rsidR="00C72836" w:rsidRPr="003608CE" w:rsidRDefault="00C72836" w:rsidP="009C357F">
            <w:pPr>
              <w:pStyle w:val="BStablefigures"/>
            </w:pPr>
            <w:r w:rsidRPr="003608CE">
              <w:t xml:space="preserve">0 </w:t>
            </w:r>
          </w:p>
        </w:tc>
        <w:tc>
          <w:tcPr>
            <w:tcW w:w="903" w:type="dxa"/>
            <w:shd w:val="clear" w:color="auto" w:fill="auto"/>
          </w:tcPr>
          <w:p w14:paraId="0DD997B9" w14:textId="77777777" w:rsidR="00C72836" w:rsidRPr="003608CE" w:rsidRDefault="00C72836" w:rsidP="00062636">
            <w:pPr>
              <w:pStyle w:val="BTableHeadingRowRightAligned"/>
              <w:spacing w:line="23" w:lineRule="atLeast"/>
            </w:pPr>
            <w:r w:rsidRPr="003608CE">
              <w:t xml:space="preserve">210 </w:t>
            </w:r>
          </w:p>
        </w:tc>
      </w:tr>
      <w:tr w:rsidR="00C72836" w:rsidRPr="003608CE" w14:paraId="11CE9DA2" w14:textId="77777777" w:rsidTr="00BF7598">
        <w:trPr>
          <w:cantSplit/>
          <w:trHeight w:val="227"/>
          <w:jc w:val="center"/>
        </w:trPr>
        <w:tc>
          <w:tcPr>
            <w:tcW w:w="4253" w:type="dxa"/>
            <w:shd w:val="clear" w:color="auto" w:fill="auto"/>
          </w:tcPr>
          <w:p w14:paraId="28C318A2" w14:textId="5D5CF1F5" w:rsidR="00C72836" w:rsidRPr="003608CE" w:rsidRDefault="00C72836" w:rsidP="009C357F">
            <w:pPr>
              <w:pStyle w:val="BStabletext"/>
            </w:pPr>
            <w:r w:rsidRPr="003608CE">
              <w:t xml:space="preserve">Fee reduction – </w:t>
            </w:r>
            <w:r>
              <w:t>o</w:t>
            </w:r>
            <w:r w:rsidRPr="003608CE">
              <w:t>ne-year waiver for taxi license fees</w:t>
            </w:r>
            <w:r>
              <w:t xml:space="preserve"> </w:t>
            </w:r>
          </w:p>
        </w:tc>
        <w:tc>
          <w:tcPr>
            <w:tcW w:w="1208" w:type="dxa"/>
            <w:shd w:val="clear" w:color="auto" w:fill="auto"/>
          </w:tcPr>
          <w:p w14:paraId="5F94C150"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68C8F852" w14:textId="77777777" w:rsidR="00C72836" w:rsidRPr="003608CE" w:rsidRDefault="00C72836" w:rsidP="009C357F">
            <w:pPr>
              <w:pStyle w:val="BStablefigures"/>
            </w:pPr>
            <w:r w:rsidRPr="003608CE">
              <w:t xml:space="preserve">220 </w:t>
            </w:r>
          </w:p>
        </w:tc>
        <w:tc>
          <w:tcPr>
            <w:tcW w:w="903" w:type="dxa"/>
            <w:shd w:val="clear" w:color="auto" w:fill="auto"/>
          </w:tcPr>
          <w:p w14:paraId="00EB4EF7" w14:textId="77777777" w:rsidR="00C72836" w:rsidRPr="003608CE" w:rsidRDefault="00C72836" w:rsidP="009C357F">
            <w:pPr>
              <w:pStyle w:val="BStablefigures"/>
            </w:pPr>
            <w:r w:rsidRPr="003608CE">
              <w:t xml:space="preserve">660 </w:t>
            </w:r>
          </w:p>
        </w:tc>
        <w:tc>
          <w:tcPr>
            <w:tcW w:w="902" w:type="dxa"/>
            <w:shd w:val="clear" w:color="auto" w:fill="auto"/>
          </w:tcPr>
          <w:p w14:paraId="5E40FFCB" w14:textId="77777777" w:rsidR="00C72836" w:rsidRPr="003608CE" w:rsidRDefault="00C72836" w:rsidP="009C357F">
            <w:pPr>
              <w:pStyle w:val="BStablefigures"/>
            </w:pPr>
            <w:r w:rsidRPr="003608CE">
              <w:t xml:space="preserve">0 </w:t>
            </w:r>
          </w:p>
        </w:tc>
        <w:tc>
          <w:tcPr>
            <w:tcW w:w="903" w:type="dxa"/>
            <w:shd w:val="clear" w:color="auto" w:fill="auto"/>
          </w:tcPr>
          <w:p w14:paraId="7EA1F313" w14:textId="77777777" w:rsidR="00C72836" w:rsidRPr="003608CE" w:rsidRDefault="00C72836" w:rsidP="009C357F">
            <w:pPr>
              <w:pStyle w:val="BStablefigures"/>
            </w:pPr>
            <w:r w:rsidRPr="003608CE">
              <w:t xml:space="preserve">0 </w:t>
            </w:r>
          </w:p>
        </w:tc>
        <w:tc>
          <w:tcPr>
            <w:tcW w:w="903" w:type="dxa"/>
            <w:shd w:val="clear" w:color="auto" w:fill="auto"/>
          </w:tcPr>
          <w:p w14:paraId="25F70D86" w14:textId="77777777" w:rsidR="00C72836" w:rsidRPr="003608CE" w:rsidRDefault="00C72836" w:rsidP="00062636">
            <w:pPr>
              <w:pStyle w:val="BTableHeadingRowRightAligned"/>
              <w:spacing w:line="23" w:lineRule="atLeast"/>
            </w:pPr>
            <w:r w:rsidRPr="003608CE">
              <w:t xml:space="preserve">880 </w:t>
            </w:r>
          </w:p>
        </w:tc>
      </w:tr>
      <w:tr w:rsidR="00C72836" w:rsidRPr="003608CE" w14:paraId="46B0D9C1" w14:textId="77777777" w:rsidTr="00BF7598">
        <w:trPr>
          <w:cantSplit/>
          <w:trHeight w:val="227"/>
          <w:jc w:val="center"/>
        </w:trPr>
        <w:tc>
          <w:tcPr>
            <w:tcW w:w="4253" w:type="dxa"/>
            <w:shd w:val="clear" w:color="auto" w:fill="auto"/>
          </w:tcPr>
          <w:p w14:paraId="3E81FC0F" w14:textId="77777777" w:rsidR="00C72836" w:rsidRPr="003608CE" w:rsidRDefault="00C72836" w:rsidP="009C357F">
            <w:pPr>
              <w:pStyle w:val="BStabletext"/>
            </w:pPr>
            <w:r w:rsidRPr="003608CE">
              <w:t xml:space="preserve">Fixed water and sewerage charges rebate for accommodation providers and community clubs </w:t>
            </w:r>
          </w:p>
        </w:tc>
        <w:tc>
          <w:tcPr>
            <w:tcW w:w="1208" w:type="dxa"/>
            <w:shd w:val="clear" w:color="auto" w:fill="auto"/>
          </w:tcPr>
          <w:p w14:paraId="1BAFABBC"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D5C0E6F" w14:textId="77777777" w:rsidR="00C72836" w:rsidRPr="003608CE" w:rsidRDefault="00C72836" w:rsidP="009C357F">
            <w:pPr>
              <w:pStyle w:val="BStablefigures"/>
            </w:pPr>
            <w:r w:rsidRPr="003608CE">
              <w:t xml:space="preserve">204 </w:t>
            </w:r>
          </w:p>
        </w:tc>
        <w:tc>
          <w:tcPr>
            <w:tcW w:w="903" w:type="dxa"/>
            <w:shd w:val="clear" w:color="auto" w:fill="auto"/>
          </w:tcPr>
          <w:p w14:paraId="0FA28893" w14:textId="77777777" w:rsidR="00C72836" w:rsidRPr="003608CE" w:rsidRDefault="00C72836" w:rsidP="009C357F">
            <w:pPr>
              <w:pStyle w:val="BStablefigures"/>
            </w:pPr>
            <w:r w:rsidRPr="003608CE">
              <w:t xml:space="preserve">2,004 </w:t>
            </w:r>
          </w:p>
        </w:tc>
        <w:tc>
          <w:tcPr>
            <w:tcW w:w="902" w:type="dxa"/>
            <w:shd w:val="clear" w:color="auto" w:fill="auto"/>
          </w:tcPr>
          <w:p w14:paraId="695E377B" w14:textId="77777777" w:rsidR="00C72836" w:rsidRPr="003608CE" w:rsidRDefault="00C72836" w:rsidP="009C357F">
            <w:pPr>
              <w:pStyle w:val="BStablefigures"/>
            </w:pPr>
            <w:r w:rsidRPr="003608CE">
              <w:t xml:space="preserve">0 </w:t>
            </w:r>
          </w:p>
        </w:tc>
        <w:tc>
          <w:tcPr>
            <w:tcW w:w="903" w:type="dxa"/>
            <w:shd w:val="clear" w:color="auto" w:fill="auto"/>
          </w:tcPr>
          <w:p w14:paraId="5E835FD8" w14:textId="77777777" w:rsidR="00C72836" w:rsidRPr="003608CE" w:rsidRDefault="00C72836" w:rsidP="009C357F">
            <w:pPr>
              <w:pStyle w:val="BStablefigures"/>
            </w:pPr>
            <w:r w:rsidRPr="003608CE">
              <w:t xml:space="preserve">0 </w:t>
            </w:r>
          </w:p>
        </w:tc>
        <w:tc>
          <w:tcPr>
            <w:tcW w:w="903" w:type="dxa"/>
            <w:shd w:val="clear" w:color="auto" w:fill="auto"/>
          </w:tcPr>
          <w:p w14:paraId="7100CC77" w14:textId="77777777" w:rsidR="00C72836" w:rsidRPr="003608CE" w:rsidRDefault="00C72836" w:rsidP="00062636">
            <w:pPr>
              <w:pStyle w:val="BTableHeadingRowRightAligned"/>
              <w:spacing w:line="23" w:lineRule="atLeast"/>
            </w:pPr>
            <w:r w:rsidRPr="003608CE">
              <w:t xml:space="preserve">2,208 </w:t>
            </w:r>
          </w:p>
        </w:tc>
      </w:tr>
      <w:tr w:rsidR="00C72836" w:rsidRPr="003608CE" w14:paraId="0674447B" w14:textId="77777777" w:rsidTr="00BF7598">
        <w:trPr>
          <w:cantSplit/>
          <w:trHeight w:val="227"/>
          <w:jc w:val="center"/>
        </w:trPr>
        <w:tc>
          <w:tcPr>
            <w:tcW w:w="4253" w:type="dxa"/>
            <w:shd w:val="clear" w:color="auto" w:fill="auto"/>
          </w:tcPr>
          <w:p w14:paraId="099EA9F1" w14:textId="1AD99BAB" w:rsidR="00C72836" w:rsidRPr="003608CE" w:rsidRDefault="00C72836" w:rsidP="009C357F">
            <w:pPr>
              <w:pStyle w:val="BStabletext"/>
            </w:pPr>
            <w:r w:rsidRPr="003608CE">
              <w:t>Payroll tax – interest</w:t>
            </w:r>
            <w:r w:rsidR="00931EFB">
              <w:t>-</w:t>
            </w:r>
            <w:r w:rsidRPr="003608CE">
              <w:t>free deferral for the construction industry</w:t>
            </w:r>
          </w:p>
        </w:tc>
        <w:tc>
          <w:tcPr>
            <w:tcW w:w="1208" w:type="dxa"/>
            <w:shd w:val="clear" w:color="auto" w:fill="auto"/>
          </w:tcPr>
          <w:p w14:paraId="26EA3A73" w14:textId="77777777" w:rsidR="00C72836" w:rsidRPr="00021465" w:rsidRDefault="00C72836" w:rsidP="00062636">
            <w:pPr>
              <w:spacing w:after="0" w:line="23" w:lineRule="atLeast"/>
              <w:jc w:val="center"/>
              <w:rPr>
                <w:sz w:val="16"/>
                <w:szCs w:val="16"/>
              </w:rPr>
            </w:pPr>
            <w:r w:rsidRPr="00021465">
              <w:rPr>
                <w:sz w:val="16"/>
                <w:szCs w:val="16"/>
              </w:rPr>
              <w:t>Expense</w:t>
            </w:r>
          </w:p>
        </w:tc>
        <w:tc>
          <w:tcPr>
            <w:tcW w:w="902" w:type="dxa"/>
            <w:shd w:val="clear" w:color="auto" w:fill="auto"/>
          </w:tcPr>
          <w:p w14:paraId="02D11497" w14:textId="77777777" w:rsidR="00C72836" w:rsidRPr="003608CE" w:rsidRDefault="00C72836" w:rsidP="009C357F">
            <w:pPr>
              <w:pStyle w:val="BStablefigures"/>
            </w:pPr>
            <w:r w:rsidRPr="003608CE">
              <w:t xml:space="preserve">27 </w:t>
            </w:r>
          </w:p>
        </w:tc>
        <w:tc>
          <w:tcPr>
            <w:tcW w:w="903" w:type="dxa"/>
            <w:shd w:val="clear" w:color="auto" w:fill="auto"/>
          </w:tcPr>
          <w:p w14:paraId="2A0F8AEC" w14:textId="77777777" w:rsidR="00C72836" w:rsidRPr="003608CE" w:rsidRDefault="00C72836" w:rsidP="009C357F">
            <w:pPr>
              <w:pStyle w:val="BStablefigures"/>
            </w:pPr>
            <w:r w:rsidRPr="003608CE">
              <w:t xml:space="preserve">30 </w:t>
            </w:r>
          </w:p>
        </w:tc>
        <w:tc>
          <w:tcPr>
            <w:tcW w:w="902" w:type="dxa"/>
            <w:shd w:val="clear" w:color="auto" w:fill="auto"/>
          </w:tcPr>
          <w:p w14:paraId="31513DB4" w14:textId="77777777" w:rsidR="00C72836" w:rsidRPr="003608CE" w:rsidRDefault="00C72836" w:rsidP="009C357F">
            <w:pPr>
              <w:pStyle w:val="BStablefigures"/>
            </w:pPr>
            <w:r w:rsidRPr="003608CE">
              <w:t xml:space="preserve">0 </w:t>
            </w:r>
          </w:p>
        </w:tc>
        <w:tc>
          <w:tcPr>
            <w:tcW w:w="903" w:type="dxa"/>
            <w:shd w:val="clear" w:color="auto" w:fill="auto"/>
          </w:tcPr>
          <w:p w14:paraId="14B8F530" w14:textId="77777777" w:rsidR="00C72836" w:rsidRPr="003608CE" w:rsidRDefault="00C72836" w:rsidP="009C357F">
            <w:pPr>
              <w:pStyle w:val="BStablefigures"/>
            </w:pPr>
            <w:r w:rsidRPr="003608CE">
              <w:t xml:space="preserve">0 </w:t>
            </w:r>
          </w:p>
        </w:tc>
        <w:tc>
          <w:tcPr>
            <w:tcW w:w="903" w:type="dxa"/>
            <w:shd w:val="clear" w:color="auto" w:fill="auto"/>
          </w:tcPr>
          <w:p w14:paraId="16A30144" w14:textId="77777777" w:rsidR="00C72836" w:rsidRPr="003608CE" w:rsidRDefault="00C72836" w:rsidP="00062636">
            <w:pPr>
              <w:pStyle w:val="BTableHeadingRowRightAligned"/>
              <w:spacing w:line="23" w:lineRule="atLeast"/>
            </w:pPr>
            <w:r w:rsidRPr="003608CE">
              <w:t xml:space="preserve">57 </w:t>
            </w:r>
          </w:p>
        </w:tc>
      </w:tr>
      <w:tr w:rsidR="00C72836" w:rsidRPr="003608CE" w14:paraId="7F1C1174" w14:textId="77777777" w:rsidTr="00BF7598">
        <w:trPr>
          <w:cantSplit/>
          <w:trHeight w:val="227"/>
          <w:jc w:val="center"/>
        </w:trPr>
        <w:tc>
          <w:tcPr>
            <w:tcW w:w="4253" w:type="dxa"/>
            <w:shd w:val="clear" w:color="auto" w:fill="auto"/>
          </w:tcPr>
          <w:p w14:paraId="3573CDB2" w14:textId="09A5D984" w:rsidR="00C72836" w:rsidRPr="003608CE" w:rsidRDefault="00C72836" w:rsidP="009C357F">
            <w:pPr>
              <w:pStyle w:val="BStabletext"/>
            </w:pPr>
            <w:r w:rsidRPr="003608CE">
              <w:lastRenderedPageBreak/>
              <w:t>Payroll tax – interest</w:t>
            </w:r>
            <w:r w:rsidR="00931EFB">
              <w:t>-</w:t>
            </w:r>
            <w:r w:rsidRPr="003608CE">
              <w:t xml:space="preserve">free deferral for the construction industry </w:t>
            </w:r>
          </w:p>
        </w:tc>
        <w:tc>
          <w:tcPr>
            <w:tcW w:w="1208" w:type="dxa"/>
            <w:shd w:val="clear" w:color="auto" w:fill="auto"/>
          </w:tcPr>
          <w:p w14:paraId="36A6E32E" w14:textId="77777777" w:rsidR="00C72836" w:rsidRPr="00021465" w:rsidRDefault="00C72836" w:rsidP="00062636">
            <w:pPr>
              <w:spacing w:after="0" w:line="23" w:lineRule="atLeast"/>
              <w:jc w:val="center"/>
              <w:rPr>
                <w:sz w:val="16"/>
                <w:szCs w:val="16"/>
              </w:rPr>
            </w:pPr>
            <w:r w:rsidRPr="00021465">
              <w:rPr>
                <w:sz w:val="16"/>
                <w:szCs w:val="16"/>
              </w:rPr>
              <w:t>Cash impact</w:t>
            </w:r>
          </w:p>
        </w:tc>
        <w:tc>
          <w:tcPr>
            <w:tcW w:w="902" w:type="dxa"/>
            <w:shd w:val="clear" w:color="auto" w:fill="auto"/>
          </w:tcPr>
          <w:p w14:paraId="3B663A6C" w14:textId="77777777" w:rsidR="00C72836" w:rsidRPr="003608CE" w:rsidRDefault="00C72836" w:rsidP="009C357F">
            <w:pPr>
              <w:pStyle w:val="BStablefigures"/>
            </w:pPr>
            <w:r w:rsidRPr="003608CE">
              <w:t xml:space="preserve">-9,600 </w:t>
            </w:r>
          </w:p>
        </w:tc>
        <w:tc>
          <w:tcPr>
            <w:tcW w:w="903" w:type="dxa"/>
            <w:shd w:val="clear" w:color="auto" w:fill="auto"/>
          </w:tcPr>
          <w:p w14:paraId="5BDC0B7D" w14:textId="77777777" w:rsidR="00C72836" w:rsidRPr="003608CE" w:rsidRDefault="00C72836" w:rsidP="009C357F">
            <w:pPr>
              <w:pStyle w:val="BStablefigures"/>
            </w:pPr>
            <w:r w:rsidRPr="003608CE">
              <w:t xml:space="preserve">-4,800 </w:t>
            </w:r>
          </w:p>
        </w:tc>
        <w:tc>
          <w:tcPr>
            <w:tcW w:w="902" w:type="dxa"/>
            <w:shd w:val="clear" w:color="auto" w:fill="auto"/>
          </w:tcPr>
          <w:p w14:paraId="23B1947A" w14:textId="77777777" w:rsidR="00C72836" w:rsidRPr="003608CE" w:rsidRDefault="00C72836" w:rsidP="009C357F">
            <w:pPr>
              <w:pStyle w:val="BStablefigures"/>
            </w:pPr>
            <w:r w:rsidRPr="003608CE">
              <w:t xml:space="preserve">14,400 </w:t>
            </w:r>
          </w:p>
        </w:tc>
        <w:tc>
          <w:tcPr>
            <w:tcW w:w="903" w:type="dxa"/>
            <w:shd w:val="clear" w:color="auto" w:fill="auto"/>
          </w:tcPr>
          <w:p w14:paraId="6E99CC88" w14:textId="77777777" w:rsidR="00C72836" w:rsidRPr="003608CE" w:rsidRDefault="00C72836" w:rsidP="009C357F">
            <w:pPr>
              <w:pStyle w:val="BStablefigures"/>
            </w:pPr>
            <w:r w:rsidRPr="003608CE">
              <w:t xml:space="preserve">0 </w:t>
            </w:r>
          </w:p>
        </w:tc>
        <w:tc>
          <w:tcPr>
            <w:tcW w:w="903" w:type="dxa"/>
            <w:shd w:val="clear" w:color="auto" w:fill="auto"/>
          </w:tcPr>
          <w:p w14:paraId="1D4870CC" w14:textId="77777777" w:rsidR="00C72836" w:rsidRPr="003608CE" w:rsidRDefault="00C72836" w:rsidP="00062636">
            <w:pPr>
              <w:pStyle w:val="BTableHeadingRowRightAligned"/>
              <w:spacing w:line="23" w:lineRule="atLeast"/>
            </w:pPr>
            <w:r w:rsidRPr="003608CE">
              <w:t xml:space="preserve">0 </w:t>
            </w:r>
          </w:p>
        </w:tc>
      </w:tr>
      <w:tr w:rsidR="00C72836" w:rsidRPr="003608CE" w14:paraId="268A77C5" w14:textId="77777777" w:rsidTr="006430BC">
        <w:trPr>
          <w:cantSplit/>
          <w:trHeight w:val="227"/>
          <w:jc w:val="center"/>
        </w:trPr>
        <w:tc>
          <w:tcPr>
            <w:tcW w:w="4253" w:type="dxa"/>
            <w:shd w:val="clear" w:color="auto" w:fill="auto"/>
          </w:tcPr>
          <w:p w14:paraId="72D69D0D" w14:textId="77777777" w:rsidR="00C72836" w:rsidRPr="003608CE" w:rsidRDefault="00C72836" w:rsidP="009C357F">
            <w:pPr>
              <w:pStyle w:val="BStabletext"/>
            </w:pPr>
            <w:r w:rsidRPr="003608CE">
              <w:t>Payroll tax – interest-free deferral for businesses with payroll under $10 million</w:t>
            </w:r>
          </w:p>
        </w:tc>
        <w:tc>
          <w:tcPr>
            <w:tcW w:w="1208" w:type="dxa"/>
            <w:shd w:val="clear" w:color="auto" w:fill="auto"/>
          </w:tcPr>
          <w:p w14:paraId="2E53FD20" w14:textId="77777777" w:rsidR="00C72836" w:rsidRPr="00021465" w:rsidRDefault="00C72836" w:rsidP="00062636">
            <w:pPr>
              <w:spacing w:after="0" w:line="23" w:lineRule="atLeast"/>
              <w:jc w:val="center"/>
              <w:rPr>
                <w:sz w:val="16"/>
                <w:szCs w:val="16"/>
              </w:rPr>
            </w:pPr>
            <w:r w:rsidRPr="00021465">
              <w:rPr>
                <w:sz w:val="16"/>
                <w:szCs w:val="16"/>
              </w:rPr>
              <w:t>Expense</w:t>
            </w:r>
          </w:p>
        </w:tc>
        <w:tc>
          <w:tcPr>
            <w:tcW w:w="902" w:type="dxa"/>
            <w:shd w:val="clear" w:color="auto" w:fill="auto"/>
          </w:tcPr>
          <w:p w14:paraId="672282C6" w14:textId="77777777" w:rsidR="00C72836" w:rsidRPr="003608CE" w:rsidRDefault="00C72836" w:rsidP="009C357F">
            <w:pPr>
              <w:pStyle w:val="BStablefigures"/>
            </w:pPr>
            <w:r w:rsidRPr="003608CE">
              <w:t xml:space="preserve">0 </w:t>
            </w:r>
          </w:p>
        </w:tc>
        <w:tc>
          <w:tcPr>
            <w:tcW w:w="903" w:type="dxa"/>
            <w:shd w:val="clear" w:color="auto" w:fill="auto"/>
          </w:tcPr>
          <w:p w14:paraId="31FFD114" w14:textId="77777777" w:rsidR="00C72836" w:rsidRPr="003608CE" w:rsidRDefault="00C72836" w:rsidP="009C357F">
            <w:pPr>
              <w:pStyle w:val="BStablefigures"/>
            </w:pPr>
            <w:r w:rsidRPr="003608CE">
              <w:t xml:space="preserve">900 </w:t>
            </w:r>
          </w:p>
        </w:tc>
        <w:tc>
          <w:tcPr>
            <w:tcW w:w="902" w:type="dxa"/>
            <w:shd w:val="clear" w:color="auto" w:fill="auto"/>
          </w:tcPr>
          <w:p w14:paraId="3E04BC5D" w14:textId="77777777" w:rsidR="00C72836" w:rsidRPr="003608CE" w:rsidRDefault="00C72836" w:rsidP="009C357F">
            <w:pPr>
              <w:pStyle w:val="BStablefigures"/>
            </w:pPr>
            <w:r w:rsidRPr="003608CE">
              <w:t xml:space="preserve">1,900 </w:t>
            </w:r>
          </w:p>
        </w:tc>
        <w:tc>
          <w:tcPr>
            <w:tcW w:w="903" w:type="dxa"/>
            <w:shd w:val="clear" w:color="auto" w:fill="auto"/>
          </w:tcPr>
          <w:p w14:paraId="56BB1C4B" w14:textId="77777777" w:rsidR="00C72836" w:rsidRPr="003608CE" w:rsidRDefault="00C72836" w:rsidP="009C357F">
            <w:pPr>
              <w:pStyle w:val="BStablefigures"/>
            </w:pPr>
            <w:r w:rsidRPr="003608CE">
              <w:t xml:space="preserve">0 </w:t>
            </w:r>
          </w:p>
        </w:tc>
        <w:tc>
          <w:tcPr>
            <w:tcW w:w="903" w:type="dxa"/>
            <w:shd w:val="clear" w:color="auto" w:fill="auto"/>
          </w:tcPr>
          <w:p w14:paraId="63394149" w14:textId="77777777" w:rsidR="00C72836" w:rsidRPr="003608CE" w:rsidRDefault="00C72836" w:rsidP="00062636">
            <w:pPr>
              <w:pStyle w:val="BTableHeadingRowRightAligned"/>
              <w:spacing w:line="23" w:lineRule="atLeast"/>
            </w:pPr>
            <w:r w:rsidRPr="003608CE">
              <w:t xml:space="preserve">2,800 </w:t>
            </w:r>
          </w:p>
        </w:tc>
      </w:tr>
      <w:tr w:rsidR="00C72836" w:rsidRPr="003608CE" w14:paraId="5CBFFB02" w14:textId="77777777" w:rsidTr="0030675B">
        <w:trPr>
          <w:cantSplit/>
          <w:trHeight w:val="227"/>
          <w:jc w:val="center"/>
        </w:trPr>
        <w:tc>
          <w:tcPr>
            <w:tcW w:w="4253" w:type="dxa"/>
            <w:shd w:val="clear" w:color="auto" w:fill="auto"/>
          </w:tcPr>
          <w:p w14:paraId="292189C6" w14:textId="13213162" w:rsidR="00C72836" w:rsidRPr="003608CE" w:rsidRDefault="00C72836" w:rsidP="009C357F">
            <w:pPr>
              <w:pStyle w:val="BStabletext"/>
            </w:pPr>
            <w:r w:rsidRPr="003608CE">
              <w:t xml:space="preserve">Payroll tax – interest-free deferral for businesses with payroll under $10 million </w:t>
            </w:r>
          </w:p>
        </w:tc>
        <w:tc>
          <w:tcPr>
            <w:tcW w:w="1208" w:type="dxa"/>
            <w:shd w:val="clear" w:color="auto" w:fill="auto"/>
          </w:tcPr>
          <w:p w14:paraId="06AF362B" w14:textId="77777777" w:rsidR="00C72836" w:rsidRPr="00021465" w:rsidRDefault="00C72836" w:rsidP="00062636">
            <w:pPr>
              <w:spacing w:after="0" w:line="23" w:lineRule="atLeast"/>
              <w:jc w:val="center"/>
              <w:rPr>
                <w:sz w:val="16"/>
                <w:szCs w:val="16"/>
              </w:rPr>
            </w:pPr>
            <w:r w:rsidRPr="00021465">
              <w:rPr>
                <w:sz w:val="16"/>
                <w:szCs w:val="16"/>
              </w:rPr>
              <w:t>Cash impact</w:t>
            </w:r>
          </w:p>
        </w:tc>
        <w:tc>
          <w:tcPr>
            <w:tcW w:w="902" w:type="dxa"/>
            <w:shd w:val="clear" w:color="auto" w:fill="auto"/>
          </w:tcPr>
          <w:p w14:paraId="0ABDBCCE" w14:textId="77777777" w:rsidR="00C72836" w:rsidRPr="003608CE" w:rsidRDefault="00C72836" w:rsidP="009C357F">
            <w:pPr>
              <w:pStyle w:val="BStablefigures"/>
            </w:pPr>
            <w:r w:rsidRPr="003608CE">
              <w:t xml:space="preserve">0 </w:t>
            </w:r>
          </w:p>
        </w:tc>
        <w:tc>
          <w:tcPr>
            <w:tcW w:w="903" w:type="dxa"/>
            <w:shd w:val="clear" w:color="auto" w:fill="auto"/>
          </w:tcPr>
          <w:p w14:paraId="2C00F29E" w14:textId="77777777" w:rsidR="00C72836" w:rsidRPr="003608CE" w:rsidRDefault="00C72836" w:rsidP="009C357F">
            <w:pPr>
              <w:pStyle w:val="BStablefigures"/>
            </w:pPr>
            <w:r w:rsidRPr="003608CE">
              <w:t xml:space="preserve">-100,000 </w:t>
            </w:r>
          </w:p>
        </w:tc>
        <w:tc>
          <w:tcPr>
            <w:tcW w:w="902" w:type="dxa"/>
            <w:shd w:val="clear" w:color="auto" w:fill="auto"/>
          </w:tcPr>
          <w:p w14:paraId="3B6871B0" w14:textId="77777777" w:rsidR="00C72836" w:rsidRPr="003608CE" w:rsidRDefault="00C72836" w:rsidP="009C357F">
            <w:pPr>
              <w:pStyle w:val="BStablefigures"/>
            </w:pPr>
            <w:r w:rsidRPr="003608CE">
              <w:t xml:space="preserve">100,000 </w:t>
            </w:r>
          </w:p>
        </w:tc>
        <w:tc>
          <w:tcPr>
            <w:tcW w:w="903" w:type="dxa"/>
            <w:shd w:val="clear" w:color="auto" w:fill="auto"/>
          </w:tcPr>
          <w:p w14:paraId="30DE420F" w14:textId="77777777" w:rsidR="00C72836" w:rsidRPr="003608CE" w:rsidRDefault="00C72836" w:rsidP="009C357F">
            <w:pPr>
              <w:pStyle w:val="BStablefigures"/>
            </w:pPr>
            <w:r w:rsidRPr="003608CE">
              <w:t xml:space="preserve">0 </w:t>
            </w:r>
          </w:p>
        </w:tc>
        <w:tc>
          <w:tcPr>
            <w:tcW w:w="903" w:type="dxa"/>
            <w:shd w:val="clear" w:color="auto" w:fill="auto"/>
          </w:tcPr>
          <w:p w14:paraId="5998FA1C" w14:textId="77777777" w:rsidR="00C72836" w:rsidRPr="003608CE" w:rsidRDefault="00C72836" w:rsidP="00062636">
            <w:pPr>
              <w:pStyle w:val="BTableHeadingRowRightAligned"/>
              <w:spacing w:line="23" w:lineRule="atLeast"/>
            </w:pPr>
            <w:r w:rsidRPr="003608CE">
              <w:t xml:space="preserve">0 </w:t>
            </w:r>
          </w:p>
        </w:tc>
      </w:tr>
      <w:tr w:rsidR="00C72836" w:rsidRPr="003608CE" w14:paraId="06825026" w14:textId="77777777" w:rsidTr="0030675B">
        <w:trPr>
          <w:cantSplit/>
          <w:trHeight w:val="227"/>
          <w:jc w:val="center"/>
        </w:trPr>
        <w:tc>
          <w:tcPr>
            <w:tcW w:w="4253" w:type="dxa"/>
            <w:shd w:val="clear" w:color="auto" w:fill="auto"/>
          </w:tcPr>
          <w:p w14:paraId="4C0D58B6" w14:textId="7B7044E7" w:rsidR="00C72836" w:rsidRPr="003608CE" w:rsidRDefault="00C72836" w:rsidP="009C357F">
            <w:pPr>
              <w:pStyle w:val="BStabletext"/>
            </w:pPr>
            <w:r w:rsidRPr="003608CE">
              <w:t>Payroll tax – six-month waiver of payroll tax for business operations directly impacted by the national ‘prohibited activities and venues’ list</w:t>
            </w:r>
            <w:r>
              <w:t xml:space="preserve"> </w:t>
            </w:r>
          </w:p>
        </w:tc>
        <w:tc>
          <w:tcPr>
            <w:tcW w:w="1208" w:type="dxa"/>
            <w:shd w:val="clear" w:color="auto" w:fill="auto"/>
          </w:tcPr>
          <w:p w14:paraId="371127EB"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28352822" w14:textId="77777777" w:rsidR="00C72836" w:rsidRPr="003608CE" w:rsidRDefault="00C72836" w:rsidP="009C357F">
            <w:pPr>
              <w:pStyle w:val="BStablefigures"/>
            </w:pPr>
            <w:r w:rsidRPr="003608CE">
              <w:t xml:space="preserve">4,200 </w:t>
            </w:r>
          </w:p>
        </w:tc>
        <w:tc>
          <w:tcPr>
            <w:tcW w:w="903" w:type="dxa"/>
            <w:shd w:val="clear" w:color="auto" w:fill="auto"/>
          </w:tcPr>
          <w:p w14:paraId="1A5157F3" w14:textId="77777777" w:rsidR="00C72836" w:rsidRPr="003608CE" w:rsidRDefault="00C72836" w:rsidP="009C357F">
            <w:pPr>
              <w:pStyle w:val="BStablefigures"/>
            </w:pPr>
            <w:r w:rsidRPr="003608CE">
              <w:t xml:space="preserve">3,500 </w:t>
            </w:r>
          </w:p>
        </w:tc>
        <w:tc>
          <w:tcPr>
            <w:tcW w:w="902" w:type="dxa"/>
            <w:shd w:val="clear" w:color="auto" w:fill="auto"/>
          </w:tcPr>
          <w:p w14:paraId="3DA7D693" w14:textId="77777777" w:rsidR="00C72836" w:rsidRPr="003608CE" w:rsidRDefault="00C72836" w:rsidP="009C357F">
            <w:pPr>
              <w:pStyle w:val="BStablefigures"/>
            </w:pPr>
            <w:r w:rsidRPr="003608CE">
              <w:t xml:space="preserve">0 </w:t>
            </w:r>
          </w:p>
        </w:tc>
        <w:tc>
          <w:tcPr>
            <w:tcW w:w="903" w:type="dxa"/>
            <w:shd w:val="clear" w:color="auto" w:fill="auto"/>
          </w:tcPr>
          <w:p w14:paraId="6ADFA250" w14:textId="77777777" w:rsidR="00C72836" w:rsidRPr="003608CE" w:rsidRDefault="00C72836" w:rsidP="009C357F">
            <w:pPr>
              <w:pStyle w:val="BStablefigures"/>
            </w:pPr>
            <w:r w:rsidRPr="003608CE">
              <w:t xml:space="preserve">0 </w:t>
            </w:r>
          </w:p>
        </w:tc>
        <w:tc>
          <w:tcPr>
            <w:tcW w:w="903" w:type="dxa"/>
            <w:shd w:val="clear" w:color="auto" w:fill="auto"/>
          </w:tcPr>
          <w:p w14:paraId="2062B9E5" w14:textId="77777777" w:rsidR="00C72836" w:rsidRPr="003608CE" w:rsidRDefault="00C72836" w:rsidP="00062636">
            <w:pPr>
              <w:pStyle w:val="BTableHeadingRowRightAligned"/>
              <w:spacing w:line="23" w:lineRule="atLeast"/>
            </w:pPr>
            <w:r w:rsidRPr="003608CE">
              <w:t xml:space="preserve">7,700 </w:t>
            </w:r>
          </w:p>
        </w:tc>
      </w:tr>
      <w:tr w:rsidR="00C72836" w:rsidRPr="003608CE" w14:paraId="34EC7C30" w14:textId="77777777" w:rsidTr="00473880">
        <w:trPr>
          <w:cantSplit/>
          <w:trHeight w:val="227"/>
          <w:jc w:val="center"/>
        </w:trPr>
        <w:tc>
          <w:tcPr>
            <w:tcW w:w="4253" w:type="dxa"/>
            <w:shd w:val="clear" w:color="auto" w:fill="auto"/>
          </w:tcPr>
          <w:p w14:paraId="50497FFF" w14:textId="1D105CFD" w:rsidR="00C72836" w:rsidRPr="003608CE" w:rsidRDefault="00C72836" w:rsidP="009C357F">
            <w:pPr>
              <w:pStyle w:val="BStabletext"/>
            </w:pPr>
            <w:r w:rsidRPr="003608CE">
              <w:t>Rental relief – ACT government properties</w:t>
            </w:r>
            <w:r>
              <w:t xml:space="preserve"> </w:t>
            </w:r>
          </w:p>
        </w:tc>
        <w:tc>
          <w:tcPr>
            <w:tcW w:w="1208" w:type="dxa"/>
            <w:shd w:val="clear" w:color="auto" w:fill="auto"/>
          </w:tcPr>
          <w:p w14:paraId="2EC02A56" w14:textId="77777777" w:rsidR="00C72836" w:rsidRPr="0052231E" w:rsidRDefault="00C72836" w:rsidP="00473880">
            <w:pPr>
              <w:spacing w:after="0" w:line="23" w:lineRule="atLeast"/>
              <w:jc w:val="center"/>
              <w:rPr>
                <w:sz w:val="16"/>
                <w:szCs w:val="16"/>
              </w:rPr>
            </w:pPr>
            <w:r w:rsidRPr="0052231E">
              <w:rPr>
                <w:sz w:val="16"/>
                <w:szCs w:val="16"/>
              </w:rPr>
              <w:t>Revenue forgone</w:t>
            </w:r>
          </w:p>
        </w:tc>
        <w:tc>
          <w:tcPr>
            <w:tcW w:w="902" w:type="dxa"/>
            <w:shd w:val="clear" w:color="auto" w:fill="auto"/>
          </w:tcPr>
          <w:p w14:paraId="1D24F0C6" w14:textId="77777777" w:rsidR="00C72836" w:rsidRPr="003608CE" w:rsidRDefault="00C72836" w:rsidP="009C357F">
            <w:pPr>
              <w:pStyle w:val="BStablefigures"/>
            </w:pPr>
            <w:r w:rsidRPr="003608CE">
              <w:t xml:space="preserve">4,600 </w:t>
            </w:r>
          </w:p>
        </w:tc>
        <w:tc>
          <w:tcPr>
            <w:tcW w:w="903" w:type="dxa"/>
            <w:shd w:val="clear" w:color="auto" w:fill="auto"/>
          </w:tcPr>
          <w:p w14:paraId="2D359301" w14:textId="77777777" w:rsidR="00C72836" w:rsidRPr="003608CE" w:rsidRDefault="00C72836" w:rsidP="009C357F">
            <w:pPr>
              <w:pStyle w:val="BStablefigures"/>
            </w:pPr>
            <w:r w:rsidRPr="003608CE">
              <w:t xml:space="preserve">4,600 </w:t>
            </w:r>
          </w:p>
        </w:tc>
        <w:tc>
          <w:tcPr>
            <w:tcW w:w="902" w:type="dxa"/>
            <w:shd w:val="clear" w:color="auto" w:fill="auto"/>
          </w:tcPr>
          <w:p w14:paraId="7B55543E" w14:textId="77777777" w:rsidR="00C72836" w:rsidRPr="003608CE" w:rsidRDefault="00C72836" w:rsidP="009C357F">
            <w:pPr>
              <w:pStyle w:val="BStablefigures"/>
            </w:pPr>
            <w:r w:rsidRPr="003608CE">
              <w:t xml:space="preserve">0 </w:t>
            </w:r>
          </w:p>
        </w:tc>
        <w:tc>
          <w:tcPr>
            <w:tcW w:w="903" w:type="dxa"/>
            <w:shd w:val="clear" w:color="auto" w:fill="auto"/>
          </w:tcPr>
          <w:p w14:paraId="138DC849" w14:textId="77777777" w:rsidR="00C72836" w:rsidRPr="003608CE" w:rsidRDefault="00C72836" w:rsidP="009C357F">
            <w:pPr>
              <w:pStyle w:val="BStablefigures"/>
            </w:pPr>
            <w:r w:rsidRPr="003608CE">
              <w:t xml:space="preserve">0 </w:t>
            </w:r>
          </w:p>
        </w:tc>
        <w:tc>
          <w:tcPr>
            <w:tcW w:w="903" w:type="dxa"/>
            <w:shd w:val="clear" w:color="auto" w:fill="auto"/>
          </w:tcPr>
          <w:p w14:paraId="41495270" w14:textId="77777777" w:rsidR="00C72836" w:rsidRPr="003608CE" w:rsidRDefault="00C72836" w:rsidP="00473880">
            <w:pPr>
              <w:pStyle w:val="BTableHeadingRowRightAligned"/>
              <w:spacing w:line="23" w:lineRule="atLeast"/>
            </w:pPr>
            <w:r w:rsidRPr="003608CE">
              <w:t xml:space="preserve">9,200 </w:t>
            </w:r>
          </w:p>
        </w:tc>
      </w:tr>
      <w:tr w:rsidR="00C72836" w:rsidRPr="003608CE" w14:paraId="3AE00EE3" w14:textId="77777777" w:rsidTr="00BF7598">
        <w:trPr>
          <w:cantSplit/>
          <w:trHeight w:val="227"/>
          <w:jc w:val="center"/>
        </w:trPr>
        <w:tc>
          <w:tcPr>
            <w:tcW w:w="4253" w:type="dxa"/>
            <w:shd w:val="clear" w:color="auto" w:fill="auto"/>
          </w:tcPr>
          <w:p w14:paraId="6F650DAF" w14:textId="77777777" w:rsidR="00C72836" w:rsidRPr="003608CE" w:rsidRDefault="00C72836" w:rsidP="009C357F">
            <w:pPr>
              <w:pStyle w:val="BStabletext"/>
            </w:pPr>
            <w:r w:rsidRPr="003608CE">
              <w:t>Supporting Community Clubs</w:t>
            </w:r>
          </w:p>
        </w:tc>
        <w:tc>
          <w:tcPr>
            <w:tcW w:w="1208" w:type="dxa"/>
            <w:shd w:val="clear" w:color="auto" w:fill="auto"/>
          </w:tcPr>
          <w:p w14:paraId="12CAE106"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0C274CC5" w14:textId="77777777" w:rsidR="00C72836" w:rsidRPr="003608CE" w:rsidRDefault="00C72836" w:rsidP="009C357F">
            <w:pPr>
              <w:pStyle w:val="BStablefigures"/>
            </w:pPr>
            <w:r w:rsidRPr="003608CE">
              <w:t xml:space="preserve">5,888 </w:t>
            </w:r>
          </w:p>
        </w:tc>
        <w:tc>
          <w:tcPr>
            <w:tcW w:w="903" w:type="dxa"/>
            <w:shd w:val="clear" w:color="auto" w:fill="auto"/>
          </w:tcPr>
          <w:p w14:paraId="5AB8CDC6" w14:textId="77777777" w:rsidR="00C72836" w:rsidRPr="003608CE" w:rsidRDefault="00C72836" w:rsidP="009C357F">
            <w:pPr>
              <w:pStyle w:val="BStablefigures"/>
            </w:pPr>
            <w:r w:rsidRPr="003608CE">
              <w:t xml:space="preserve">0 </w:t>
            </w:r>
          </w:p>
        </w:tc>
        <w:tc>
          <w:tcPr>
            <w:tcW w:w="902" w:type="dxa"/>
            <w:shd w:val="clear" w:color="auto" w:fill="auto"/>
          </w:tcPr>
          <w:p w14:paraId="7EBB0536" w14:textId="77777777" w:rsidR="00C72836" w:rsidRPr="003608CE" w:rsidRDefault="00C72836" w:rsidP="009C357F">
            <w:pPr>
              <w:pStyle w:val="BStablefigures"/>
            </w:pPr>
            <w:r w:rsidRPr="003608CE">
              <w:t xml:space="preserve">0 </w:t>
            </w:r>
          </w:p>
        </w:tc>
        <w:tc>
          <w:tcPr>
            <w:tcW w:w="903" w:type="dxa"/>
            <w:shd w:val="clear" w:color="auto" w:fill="auto"/>
          </w:tcPr>
          <w:p w14:paraId="67C3D21D" w14:textId="77777777" w:rsidR="00C72836" w:rsidRPr="003608CE" w:rsidRDefault="00C72836" w:rsidP="009C357F">
            <w:pPr>
              <w:pStyle w:val="BStablefigures"/>
            </w:pPr>
            <w:r w:rsidRPr="003608CE">
              <w:t xml:space="preserve">0 </w:t>
            </w:r>
          </w:p>
        </w:tc>
        <w:tc>
          <w:tcPr>
            <w:tcW w:w="903" w:type="dxa"/>
            <w:shd w:val="clear" w:color="auto" w:fill="auto"/>
          </w:tcPr>
          <w:p w14:paraId="5E609925" w14:textId="77777777" w:rsidR="00C72836" w:rsidRPr="003608CE" w:rsidRDefault="00C72836" w:rsidP="00062636">
            <w:pPr>
              <w:pStyle w:val="BTableHeadingRowRightAligned"/>
              <w:spacing w:line="23" w:lineRule="atLeast"/>
            </w:pPr>
            <w:r w:rsidRPr="003608CE">
              <w:t xml:space="preserve">5,888 </w:t>
            </w:r>
          </w:p>
        </w:tc>
      </w:tr>
      <w:tr w:rsidR="00C72836" w:rsidRPr="003608CE" w14:paraId="56E6C61B" w14:textId="77777777" w:rsidTr="00BF7598">
        <w:trPr>
          <w:cantSplit/>
          <w:trHeight w:val="227"/>
          <w:jc w:val="center"/>
        </w:trPr>
        <w:tc>
          <w:tcPr>
            <w:tcW w:w="4253" w:type="dxa"/>
            <w:shd w:val="clear" w:color="auto" w:fill="auto"/>
          </w:tcPr>
          <w:p w14:paraId="40A7EA44" w14:textId="77777777" w:rsidR="00C72836" w:rsidRPr="003608CE" w:rsidRDefault="00C72836" w:rsidP="009C357F">
            <w:pPr>
              <w:pStyle w:val="BStabletext"/>
            </w:pPr>
            <w:r w:rsidRPr="003608CE">
              <w:t>Training support – National Infection Control Fund</w:t>
            </w:r>
          </w:p>
        </w:tc>
        <w:tc>
          <w:tcPr>
            <w:tcW w:w="1208" w:type="dxa"/>
            <w:shd w:val="clear" w:color="auto" w:fill="auto"/>
          </w:tcPr>
          <w:p w14:paraId="04D2F757"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2C6786C5" w14:textId="77777777" w:rsidR="00C72836" w:rsidRPr="003608CE" w:rsidRDefault="00C72836" w:rsidP="009C357F">
            <w:pPr>
              <w:pStyle w:val="BStablefigures"/>
            </w:pPr>
            <w:r w:rsidRPr="003608CE">
              <w:t xml:space="preserve">0 </w:t>
            </w:r>
          </w:p>
        </w:tc>
        <w:tc>
          <w:tcPr>
            <w:tcW w:w="903" w:type="dxa"/>
            <w:shd w:val="clear" w:color="auto" w:fill="auto"/>
          </w:tcPr>
          <w:p w14:paraId="1AA9F5F5" w14:textId="77777777" w:rsidR="00C72836" w:rsidRPr="003608CE" w:rsidRDefault="00C72836" w:rsidP="009C357F">
            <w:pPr>
              <w:pStyle w:val="BStablefigures"/>
            </w:pPr>
            <w:r w:rsidRPr="003608CE">
              <w:t xml:space="preserve">670 </w:t>
            </w:r>
          </w:p>
        </w:tc>
        <w:tc>
          <w:tcPr>
            <w:tcW w:w="902" w:type="dxa"/>
            <w:shd w:val="clear" w:color="auto" w:fill="auto"/>
          </w:tcPr>
          <w:p w14:paraId="054D68F0" w14:textId="77777777" w:rsidR="00C72836" w:rsidRPr="003608CE" w:rsidRDefault="00C72836" w:rsidP="009C357F">
            <w:pPr>
              <w:pStyle w:val="BStablefigures"/>
            </w:pPr>
            <w:r w:rsidRPr="003608CE">
              <w:t xml:space="preserve">0 </w:t>
            </w:r>
          </w:p>
        </w:tc>
        <w:tc>
          <w:tcPr>
            <w:tcW w:w="903" w:type="dxa"/>
            <w:shd w:val="clear" w:color="auto" w:fill="auto"/>
          </w:tcPr>
          <w:p w14:paraId="05BF63C2" w14:textId="77777777" w:rsidR="00C72836" w:rsidRPr="003608CE" w:rsidRDefault="00C72836" w:rsidP="009C357F">
            <w:pPr>
              <w:pStyle w:val="BStablefigures"/>
            </w:pPr>
            <w:r w:rsidRPr="003608CE">
              <w:t xml:space="preserve">0 </w:t>
            </w:r>
          </w:p>
        </w:tc>
        <w:tc>
          <w:tcPr>
            <w:tcW w:w="903" w:type="dxa"/>
            <w:shd w:val="clear" w:color="auto" w:fill="auto"/>
          </w:tcPr>
          <w:p w14:paraId="1A62AF2B" w14:textId="77777777" w:rsidR="00C72836" w:rsidRPr="003608CE" w:rsidRDefault="00C72836" w:rsidP="009C357F">
            <w:pPr>
              <w:pStyle w:val="BStablefiguresbold"/>
            </w:pPr>
            <w:r w:rsidRPr="003608CE">
              <w:t xml:space="preserve">670 </w:t>
            </w:r>
          </w:p>
        </w:tc>
      </w:tr>
      <w:tr w:rsidR="00C72836" w:rsidRPr="001758E2" w14:paraId="14068058" w14:textId="77777777" w:rsidTr="00BF7598">
        <w:trPr>
          <w:cantSplit/>
          <w:trHeight w:val="227"/>
          <w:jc w:val="center"/>
        </w:trPr>
        <w:tc>
          <w:tcPr>
            <w:tcW w:w="4253" w:type="dxa"/>
            <w:shd w:val="clear" w:color="auto" w:fill="auto"/>
          </w:tcPr>
          <w:p w14:paraId="6E4AF091" w14:textId="77777777" w:rsidR="00C72836" w:rsidRPr="00C92B47" w:rsidRDefault="00C72836" w:rsidP="009C357F">
            <w:pPr>
              <w:pStyle w:val="BStabletext"/>
            </w:pPr>
          </w:p>
        </w:tc>
        <w:tc>
          <w:tcPr>
            <w:tcW w:w="1208" w:type="dxa"/>
          </w:tcPr>
          <w:p w14:paraId="4BFBE70E" w14:textId="77777777" w:rsidR="00C72836" w:rsidRPr="001758E2" w:rsidRDefault="00C72836" w:rsidP="009C357F">
            <w:pPr>
              <w:pStyle w:val="BStablefigures"/>
            </w:pPr>
          </w:p>
        </w:tc>
        <w:tc>
          <w:tcPr>
            <w:tcW w:w="902" w:type="dxa"/>
            <w:shd w:val="clear" w:color="auto" w:fill="auto"/>
          </w:tcPr>
          <w:p w14:paraId="19DBF202" w14:textId="77777777" w:rsidR="00C72836" w:rsidRPr="001758E2" w:rsidRDefault="00C72836" w:rsidP="009C357F">
            <w:pPr>
              <w:pStyle w:val="BStablefigures"/>
            </w:pPr>
          </w:p>
        </w:tc>
        <w:tc>
          <w:tcPr>
            <w:tcW w:w="903" w:type="dxa"/>
            <w:shd w:val="clear" w:color="auto" w:fill="auto"/>
          </w:tcPr>
          <w:p w14:paraId="25DFFC1D" w14:textId="77777777" w:rsidR="00C72836" w:rsidRPr="001758E2" w:rsidRDefault="00C72836" w:rsidP="009C357F">
            <w:pPr>
              <w:pStyle w:val="BStablefigures"/>
            </w:pPr>
          </w:p>
        </w:tc>
        <w:tc>
          <w:tcPr>
            <w:tcW w:w="902" w:type="dxa"/>
            <w:shd w:val="clear" w:color="auto" w:fill="auto"/>
          </w:tcPr>
          <w:p w14:paraId="1CD79FA8" w14:textId="77777777" w:rsidR="00C72836" w:rsidRPr="001758E2" w:rsidRDefault="00C72836" w:rsidP="009C357F">
            <w:pPr>
              <w:pStyle w:val="BStablefigures"/>
            </w:pPr>
          </w:p>
        </w:tc>
        <w:tc>
          <w:tcPr>
            <w:tcW w:w="903" w:type="dxa"/>
            <w:shd w:val="clear" w:color="auto" w:fill="auto"/>
          </w:tcPr>
          <w:p w14:paraId="1714AF93" w14:textId="77777777" w:rsidR="00C72836" w:rsidRPr="001758E2" w:rsidRDefault="00C72836" w:rsidP="009C357F">
            <w:pPr>
              <w:pStyle w:val="BStablefigures"/>
            </w:pPr>
          </w:p>
        </w:tc>
        <w:tc>
          <w:tcPr>
            <w:tcW w:w="903" w:type="dxa"/>
            <w:shd w:val="clear" w:color="auto" w:fill="auto"/>
          </w:tcPr>
          <w:p w14:paraId="0FA04F15" w14:textId="77777777" w:rsidR="00C72836" w:rsidRPr="001758E2" w:rsidRDefault="00C72836" w:rsidP="009C357F">
            <w:pPr>
              <w:pStyle w:val="BStablefigures"/>
            </w:pPr>
          </w:p>
        </w:tc>
      </w:tr>
      <w:tr w:rsidR="00C72836" w:rsidRPr="003608CE" w14:paraId="274AEE16" w14:textId="77777777" w:rsidTr="00BF7598">
        <w:trPr>
          <w:cantSplit/>
          <w:trHeight w:val="227"/>
          <w:jc w:val="center"/>
        </w:trPr>
        <w:tc>
          <w:tcPr>
            <w:tcW w:w="4253" w:type="dxa"/>
            <w:shd w:val="clear" w:color="auto" w:fill="auto"/>
          </w:tcPr>
          <w:p w14:paraId="771D5F38" w14:textId="77777777" w:rsidR="00C72836" w:rsidRPr="003608CE" w:rsidRDefault="00C72836" w:rsidP="009C357F">
            <w:pPr>
              <w:pStyle w:val="BStabletextbold"/>
            </w:pPr>
            <w:r w:rsidRPr="003608CE">
              <w:t>Supporting families and households</w:t>
            </w:r>
          </w:p>
        </w:tc>
        <w:tc>
          <w:tcPr>
            <w:tcW w:w="1208" w:type="dxa"/>
            <w:shd w:val="clear" w:color="auto" w:fill="auto"/>
          </w:tcPr>
          <w:p w14:paraId="3CDACCF2" w14:textId="77777777" w:rsidR="00C72836" w:rsidRPr="003608CE" w:rsidRDefault="00C72836" w:rsidP="00062636">
            <w:pPr>
              <w:spacing w:after="0" w:line="23" w:lineRule="atLeast"/>
              <w:jc w:val="center"/>
              <w:rPr>
                <w:rFonts w:cs="Calibri"/>
                <w:color w:val="FFFFFF"/>
                <w:sz w:val="12"/>
              </w:rPr>
            </w:pPr>
            <w:r w:rsidRPr="003608CE">
              <w:rPr>
                <w:rFonts w:cs="Calibri"/>
                <w:color w:val="FFFFFF"/>
                <w:sz w:val="12"/>
              </w:rPr>
              <w:t>Cat</w:t>
            </w:r>
          </w:p>
        </w:tc>
        <w:tc>
          <w:tcPr>
            <w:tcW w:w="902" w:type="dxa"/>
            <w:shd w:val="clear" w:color="auto" w:fill="auto"/>
          </w:tcPr>
          <w:p w14:paraId="30F54571" w14:textId="77777777" w:rsidR="00C72836" w:rsidRPr="003608CE" w:rsidRDefault="00C72836" w:rsidP="00062636">
            <w:pPr>
              <w:spacing w:after="0" w:line="23" w:lineRule="atLeast"/>
              <w:jc w:val="right"/>
              <w:rPr>
                <w:rFonts w:cs="Calibri"/>
                <w:color w:val="FFFFFF"/>
                <w:sz w:val="12"/>
              </w:rPr>
            </w:pPr>
            <w:r w:rsidRPr="003608CE">
              <w:rPr>
                <w:rFonts w:cs="Calibri"/>
                <w:color w:val="FFFFFF"/>
                <w:sz w:val="12"/>
              </w:rPr>
              <w:t xml:space="preserve">1 </w:t>
            </w:r>
          </w:p>
        </w:tc>
        <w:tc>
          <w:tcPr>
            <w:tcW w:w="903" w:type="dxa"/>
            <w:shd w:val="clear" w:color="auto" w:fill="auto"/>
          </w:tcPr>
          <w:p w14:paraId="4C75DE9C" w14:textId="77777777" w:rsidR="00C72836" w:rsidRPr="003608CE" w:rsidRDefault="00C72836" w:rsidP="00062636">
            <w:pPr>
              <w:spacing w:after="0" w:line="23" w:lineRule="atLeast"/>
              <w:jc w:val="right"/>
              <w:rPr>
                <w:rFonts w:cs="Calibri"/>
                <w:color w:val="FFFFFF"/>
                <w:sz w:val="12"/>
              </w:rPr>
            </w:pPr>
            <w:r w:rsidRPr="003608CE">
              <w:rPr>
                <w:rFonts w:cs="Calibri"/>
                <w:color w:val="FFFFFF"/>
                <w:sz w:val="12"/>
              </w:rPr>
              <w:t xml:space="preserve">2 </w:t>
            </w:r>
          </w:p>
        </w:tc>
        <w:tc>
          <w:tcPr>
            <w:tcW w:w="902" w:type="dxa"/>
            <w:shd w:val="clear" w:color="auto" w:fill="auto"/>
          </w:tcPr>
          <w:p w14:paraId="60E9E95A" w14:textId="77777777" w:rsidR="00C72836" w:rsidRPr="003608CE" w:rsidRDefault="00C72836" w:rsidP="00062636">
            <w:pPr>
              <w:spacing w:after="0" w:line="23" w:lineRule="atLeast"/>
              <w:jc w:val="right"/>
              <w:rPr>
                <w:rFonts w:cs="Calibri"/>
                <w:color w:val="FFFFFF"/>
                <w:sz w:val="12"/>
              </w:rPr>
            </w:pPr>
            <w:r w:rsidRPr="003608CE">
              <w:rPr>
                <w:rFonts w:cs="Calibri"/>
                <w:color w:val="FFFFFF"/>
                <w:sz w:val="12"/>
              </w:rPr>
              <w:t xml:space="preserve">3 </w:t>
            </w:r>
          </w:p>
        </w:tc>
        <w:tc>
          <w:tcPr>
            <w:tcW w:w="903" w:type="dxa"/>
            <w:shd w:val="clear" w:color="auto" w:fill="auto"/>
          </w:tcPr>
          <w:p w14:paraId="08AA0401" w14:textId="77777777" w:rsidR="00C72836" w:rsidRPr="003608CE" w:rsidRDefault="00C72836" w:rsidP="00062636">
            <w:pPr>
              <w:spacing w:after="0" w:line="23" w:lineRule="atLeast"/>
              <w:jc w:val="right"/>
              <w:rPr>
                <w:rFonts w:cs="Calibri"/>
                <w:color w:val="FFFFFF"/>
                <w:sz w:val="12"/>
              </w:rPr>
            </w:pPr>
            <w:r w:rsidRPr="003608CE">
              <w:rPr>
                <w:rFonts w:cs="Calibri"/>
                <w:color w:val="FFFFFF"/>
                <w:sz w:val="12"/>
              </w:rPr>
              <w:t xml:space="preserve">4 </w:t>
            </w:r>
          </w:p>
        </w:tc>
        <w:tc>
          <w:tcPr>
            <w:tcW w:w="903" w:type="dxa"/>
            <w:shd w:val="clear" w:color="auto" w:fill="auto"/>
          </w:tcPr>
          <w:p w14:paraId="7D6859D3" w14:textId="77777777" w:rsidR="00C72836" w:rsidRPr="003608CE" w:rsidRDefault="00C72836" w:rsidP="00062636">
            <w:pPr>
              <w:spacing w:after="0" w:line="23" w:lineRule="atLeast"/>
              <w:jc w:val="right"/>
              <w:rPr>
                <w:rFonts w:cs="Calibri"/>
                <w:color w:val="FFFFFF"/>
                <w:sz w:val="12"/>
              </w:rPr>
            </w:pPr>
            <w:r w:rsidRPr="003608CE">
              <w:rPr>
                <w:rFonts w:cs="Calibri"/>
                <w:color w:val="FFFFFF"/>
                <w:sz w:val="12"/>
              </w:rPr>
              <w:t xml:space="preserve">5 </w:t>
            </w:r>
          </w:p>
        </w:tc>
      </w:tr>
      <w:tr w:rsidR="00C72836" w:rsidRPr="003608CE" w14:paraId="280DFF7B" w14:textId="77777777" w:rsidTr="00BF7598">
        <w:trPr>
          <w:cantSplit/>
          <w:trHeight w:val="227"/>
          <w:jc w:val="center"/>
        </w:trPr>
        <w:tc>
          <w:tcPr>
            <w:tcW w:w="4253" w:type="dxa"/>
            <w:shd w:val="clear" w:color="auto" w:fill="auto"/>
          </w:tcPr>
          <w:p w14:paraId="009C9458" w14:textId="77777777" w:rsidR="00C72836" w:rsidRPr="003608CE" w:rsidRDefault="00C72836" w:rsidP="009C357F">
            <w:pPr>
              <w:pStyle w:val="BStabletext"/>
            </w:pPr>
            <w:r w:rsidRPr="003608CE">
              <w:t xml:space="preserve">$200 Residential utility concession rebate </w:t>
            </w:r>
          </w:p>
        </w:tc>
        <w:tc>
          <w:tcPr>
            <w:tcW w:w="1208" w:type="dxa"/>
            <w:shd w:val="clear" w:color="auto" w:fill="auto"/>
          </w:tcPr>
          <w:p w14:paraId="11F398FD" w14:textId="77777777" w:rsidR="00C72836" w:rsidRPr="0017795E" w:rsidRDefault="00C72836" w:rsidP="00062636">
            <w:pPr>
              <w:spacing w:after="0" w:line="23" w:lineRule="atLeast"/>
              <w:jc w:val="center"/>
              <w:rPr>
                <w:sz w:val="16"/>
                <w:szCs w:val="16"/>
              </w:rPr>
            </w:pPr>
            <w:r w:rsidRPr="0017795E">
              <w:rPr>
                <w:sz w:val="16"/>
                <w:szCs w:val="16"/>
              </w:rPr>
              <w:t>Expense</w:t>
            </w:r>
          </w:p>
        </w:tc>
        <w:tc>
          <w:tcPr>
            <w:tcW w:w="902" w:type="dxa"/>
            <w:shd w:val="clear" w:color="auto" w:fill="auto"/>
          </w:tcPr>
          <w:p w14:paraId="4940CB0C" w14:textId="77777777" w:rsidR="00C72836" w:rsidRPr="003608CE" w:rsidRDefault="00C72836" w:rsidP="009C357F">
            <w:pPr>
              <w:pStyle w:val="BStablefigures"/>
            </w:pPr>
            <w:r w:rsidRPr="003608CE">
              <w:t xml:space="preserve">7,000 </w:t>
            </w:r>
          </w:p>
        </w:tc>
        <w:tc>
          <w:tcPr>
            <w:tcW w:w="903" w:type="dxa"/>
            <w:shd w:val="clear" w:color="auto" w:fill="auto"/>
          </w:tcPr>
          <w:p w14:paraId="55BA65FC" w14:textId="77777777" w:rsidR="00C72836" w:rsidRPr="003608CE" w:rsidRDefault="00C72836" w:rsidP="009C357F">
            <w:pPr>
              <w:pStyle w:val="BStablefigures"/>
            </w:pPr>
            <w:r w:rsidRPr="003608CE">
              <w:t xml:space="preserve">0 </w:t>
            </w:r>
          </w:p>
        </w:tc>
        <w:tc>
          <w:tcPr>
            <w:tcW w:w="902" w:type="dxa"/>
            <w:shd w:val="clear" w:color="auto" w:fill="auto"/>
          </w:tcPr>
          <w:p w14:paraId="6AE755CD" w14:textId="77777777" w:rsidR="00C72836" w:rsidRPr="003608CE" w:rsidRDefault="00C72836" w:rsidP="009C357F">
            <w:pPr>
              <w:pStyle w:val="BStablefigures"/>
            </w:pPr>
            <w:r w:rsidRPr="003608CE">
              <w:t xml:space="preserve">0 </w:t>
            </w:r>
          </w:p>
        </w:tc>
        <w:tc>
          <w:tcPr>
            <w:tcW w:w="903" w:type="dxa"/>
            <w:shd w:val="clear" w:color="auto" w:fill="auto"/>
          </w:tcPr>
          <w:p w14:paraId="47D390D5" w14:textId="77777777" w:rsidR="00C72836" w:rsidRPr="003608CE" w:rsidRDefault="00C72836" w:rsidP="009C357F">
            <w:pPr>
              <w:pStyle w:val="BStablefigures"/>
            </w:pPr>
            <w:r w:rsidRPr="003608CE">
              <w:t xml:space="preserve">0 </w:t>
            </w:r>
          </w:p>
        </w:tc>
        <w:tc>
          <w:tcPr>
            <w:tcW w:w="903" w:type="dxa"/>
            <w:shd w:val="clear" w:color="auto" w:fill="auto"/>
          </w:tcPr>
          <w:p w14:paraId="1A6822DC" w14:textId="77777777" w:rsidR="00C72836" w:rsidRPr="003608CE" w:rsidRDefault="00C72836" w:rsidP="009C357F">
            <w:pPr>
              <w:pStyle w:val="BStablefiguresbold"/>
            </w:pPr>
            <w:r w:rsidRPr="003608CE">
              <w:t xml:space="preserve">7,000 </w:t>
            </w:r>
          </w:p>
        </w:tc>
      </w:tr>
      <w:tr w:rsidR="00C72836" w:rsidRPr="003608CE" w14:paraId="293B0F4A" w14:textId="77777777" w:rsidTr="00BF7598">
        <w:trPr>
          <w:cantSplit/>
          <w:trHeight w:val="227"/>
          <w:jc w:val="center"/>
        </w:trPr>
        <w:tc>
          <w:tcPr>
            <w:tcW w:w="4253" w:type="dxa"/>
            <w:shd w:val="clear" w:color="auto" w:fill="auto"/>
          </w:tcPr>
          <w:p w14:paraId="3C0ED5F2" w14:textId="17CC0E2F" w:rsidR="00C72836" w:rsidRPr="003608CE" w:rsidRDefault="00C72836" w:rsidP="009C357F">
            <w:pPr>
              <w:pStyle w:val="BStabletext"/>
            </w:pPr>
            <w:r w:rsidRPr="003608CE">
              <w:t>Assistance for sport and recreation bodies</w:t>
            </w:r>
            <w:r>
              <w:t xml:space="preserve"> </w:t>
            </w:r>
          </w:p>
        </w:tc>
        <w:tc>
          <w:tcPr>
            <w:tcW w:w="1208" w:type="dxa"/>
            <w:shd w:val="clear" w:color="auto" w:fill="auto"/>
          </w:tcPr>
          <w:p w14:paraId="20326A9A" w14:textId="77777777" w:rsidR="00C72836" w:rsidRPr="0017795E" w:rsidRDefault="00C72836" w:rsidP="00062636">
            <w:pPr>
              <w:spacing w:after="0" w:line="23" w:lineRule="atLeast"/>
              <w:jc w:val="center"/>
              <w:rPr>
                <w:sz w:val="16"/>
                <w:szCs w:val="16"/>
              </w:rPr>
            </w:pPr>
            <w:r w:rsidRPr="0017795E">
              <w:rPr>
                <w:sz w:val="16"/>
                <w:szCs w:val="16"/>
              </w:rPr>
              <w:t>Revenue forgone</w:t>
            </w:r>
          </w:p>
        </w:tc>
        <w:tc>
          <w:tcPr>
            <w:tcW w:w="902" w:type="dxa"/>
            <w:shd w:val="clear" w:color="auto" w:fill="auto"/>
          </w:tcPr>
          <w:p w14:paraId="49304693" w14:textId="77777777" w:rsidR="00C72836" w:rsidRPr="003608CE" w:rsidRDefault="00C72836" w:rsidP="009C357F">
            <w:pPr>
              <w:pStyle w:val="BStablefigures"/>
            </w:pPr>
            <w:r w:rsidRPr="003608CE">
              <w:t xml:space="preserve">100 </w:t>
            </w:r>
          </w:p>
        </w:tc>
        <w:tc>
          <w:tcPr>
            <w:tcW w:w="903" w:type="dxa"/>
            <w:shd w:val="clear" w:color="auto" w:fill="auto"/>
          </w:tcPr>
          <w:p w14:paraId="5C104AD2" w14:textId="77777777" w:rsidR="00C72836" w:rsidRPr="003608CE" w:rsidRDefault="00C72836" w:rsidP="009C357F">
            <w:pPr>
              <w:pStyle w:val="BStablefigures"/>
            </w:pPr>
            <w:r w:rsidRPr="003608CE">
              <w:t xml:space="preserve">1,000 </w:t>
            </w:r>
          </w:p>
        </w:tc>
        <w:tc>
          <w:tcPr>
            <w:tcW w:w="902" w:type="dxa"/>
            <w:shd w:val="clear" w:color="auto" w:fill="auto"/>
          </w:tcPr>
          <w:p w14:paraId="781336D3" w14:textId="77777777" w:rsidR="00C72836" w:rsidRPr="003608CE" w:rsidRDefault="00C72836" w:rsidP="009C357F">
            <w:pPr>
              <w:pStyle w:val="BStablefigures"/>
            </w:pPr>
            <w:r w:rsidRPr="003608CE">
              <w:t xml:space="preserve">0 </w:t>
            </w:r>
          </w:p>
        </w:tc>
        <w:tc>
          <w:tcPr>
            <w:tcW w:w="903" w:type="dxa"/>
            <w:shd w:val="clear" w:color="auto" w:fill="auto"/>
          </w:tcPr>
          <w:p w14:paraId="142B2302" w14:textId="77777777" w:rsidR="00C72836" w:rsidRPr="003608CE" w:rsidRDefault="00C72836" w:rsidP="009C357F">
            <w:pPr>
              <w:pStyle w:val="BStablefigures"/>
            </w:pPr>
            <w:r w:rsidRPr="003608CE">
              <w:t xml:space="preserve">0 </w:t>
            </w:r>
          </w:p>
        </w:tc>
        <w:tc>
          <w:tcPr>
            <w:tcW w:w="903" w:type="dxa"/>
            <w:shd w:val="clear" w:color="auto" w:fill="auto"/>
          </w:tcPr>
          <w:p w14:paraId="55EABBFF" w14:textId="77777777" w:rsidR="00C72836" w:rsidRPr="003608CE" w:rsidRDefault="00C72836" w:rsidP="009C357F">
            <w:pPr>
              <w:pStyle w:val="BStablefiguresbold"/>
            </w:pPr>
            <w:r w:rsidRPr="003608CE">
              <w:t xml:space="preserve">1,100 </w:t>
            </w:r>
          </w:p>
        </w:tc>
      </w:tr>
      <w:tr w:rsidR="00C72836" w:rsidRPr="003608CE" w14:paraId="4FAFC77E" w14:textId="77777777" w:rsidTr="00BF7598">
        <w:trPr>
          <w:cantSplit/>
          <w:trHeight w:val="227"/>
          <w:jc w:val="center"/>
        </w:trPr>
        <w:tc>
          <w:tcPr>
            <w:tcW w:w="4253" w:type="dxa"/>
            <w:shd w:val="clear" w:color="auto" w:fill="auto"/>
          </w:tcPr>
          <w:p w14:paraId="59C641B4" w14:textId="0A48E45D" w:rsidR="00C72836" w:rsidRPr="003608CE" w:rsidRDefault="00C72836" w:rsidP="009C357F">
            <w:pPr>
              <w:pStyle w:val="BStabletext"/>
            </w:pPr>
            <w:r w:rsidRPr="003608CE">
              <w:t xml:space="preserve">Fee and charge reduction – </w:t>
            </w:r>
            <w:r>
              <w:t>o</w:t>
            </w:r>
            <w:r w:rsidRPr="003608CE">
              <w:t>ne-year freeze on growth of Fire and Emergency Services Levy</w:t>
            </w:r>
            <w:r>
              <w:t xml:space="preserve"> </w:t>
            </w:r>
          </w:p>
        </w:tc>
        <w:tc>
          <w:tcPr>
            <w:tcW w:w="1208" w:type="dxa"/>
            <w:shd w:val="clear" w:color="auto" w:fill="auto"/>
          </w:tcPr>
          <w:p w14:paraId="25D37C98"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3D5FA3C4" w14:textId="77777777" w:rsidR="00C72836" w:rsidRPr="003608CE" w:rsidRDefault="00C72836" w:rsidP="009C357F">
            <w:pPr>
              <w:pStyle w:val="BStablefigures"/>
            </w:pPr>
            <w:r w:rsidRPr="003608CE">
              <w:t xml:space="preserve">0 </w:t>
            </w:r>
          </w:p>
        </w:tc>
        <w:tc>
          <w:tcPr>
            <w:tcW w:w="903" w:type="dxa"/>
            <w:shd w:val="clear" w:color="auto" w:fill="auto"/>
          </w:tcPr>
          <w:p w14:paraId="191A7A29" w14:textId="77777777" w:rsidR="00C72836" w:rsidRPr="003608CE" w:rsidRDefault="00C72836" w:rsidP="009C357F">
            <w:pPr>
              <w:pStyle w:val="BStablefigures"/>
            </w:pPr>
            <w:r w:rsidRPr="003608CE">
              <w:t xml:space="preserve">2,194 </w:t>
            </w:r>
          </w:p>
        </w:tc>
        <w:tc>
          <w:tcPr>
            <w:tcW w:w="902" w:type="dxa"/>
            <w:shd w:val="clear" w:color="auto" w:fill="auto"/>
          </w:tcPr>
          <w:p w14:paraId="27CD3636" w14:textId="77777777" w:rsidR="00C72836" w:rsidRPr="003608CE" w:rsidRDefault="00C72836" w:rsidP="009C357F">
            <w:pPr>
              <w:pStyle w:val="BStablefigures"/>
            </w:pPr>
            <w:r w:rsidRPr="003608CE">
              <w:t xml:space="preserve">2,255 </w:t>
            </w:r>
          </w:p>
        </w:tc>
        <w:tc>
          <w:tcPr>
            <w:tcW w:w="903" w:type="dxa"/>
            <w:shd w:val="clear" w:color="auto" w:fill="auto"/>
          </w:tcPr>
          <w:p w14:paraId="06A57BC1" w14:textId="77777777" w:rsidR="00C72836" w:rsidRPr="003608CE" w:rsidRDefault="00C72836" w:rsidP="009C357F">
            <w:pPr>
              <w:pStyle w:val="BStablefigures"/>
            </w:pPr>
            <w:r w:rsidRPr="003608CE">
              <w:t xml:space="preserve">2,322 </w:t>
            </w:r>
          </w:p>
        </w:tc>
        <w:tc>
          <w:tcPr>
            <w:tcW w:w="903" w:type="dxa"/>
            <w:shd w:val="clear" w:color="auto" w:fill="auto"/>
          </w:tcPr>
          <w:p w14:paraId="15894F31" w14:textId="77777777" w:rsidR="00C72836" w:rsidRPr="003608CE" w:rsidRDefault="00C72836" w:rsidP="009C357F">
            <w:pPr>
              <w:pStyle w:val="BStablefiguresbold"/>
            </w:pPr>
            <w:r w:rsidRPr="003608CE">
              <w:t xml:space="preserve">6,771 </w:t>
            </w:r>
          </w:p>
        </w:tc>
      </w:tr>
      <w:tr w:rsidR="00C72836" w:rsidRPr="003608CE" w14:paraId="525BE7C8" w14:textId="77777777" w:rsidTr="00BF7598">
        <w:trPr>
          <w:cantSplit/>
          <w:trHeight w:val="227"/>
          <w:jc w:val="center"/>
        </w:trPr>
        <w:tc>
          <w:tcPr>
            <w:tcW w:w="4253" w:type="dxa"/>
            <w:shd w:val="clear" w:color="auto" w:fill="auto"/>
          </w:tcPr>
          <w:p w14:paraId="25850B8F" w14:textId="5A0013AB" w:rsidR="00C72836" w:rsidRPr="003608CE" w:rsidRDefault="00C72836" w:rsidP="009C357F">
            <w:pPr>
              <w:pStyle w:val="BStabletext"/>
            </w:pPr>
            <w:r w:rsidRPr="003608CE">
              <w:t xml:space="preserve">Fee and charge reduction – </w:t>
            </w:r>
            <w:r>
              <w:t>o</w:t>
            </w:r>
            <w:r w:rsidRPr="003608CE">
              <w:t>ne-year freeze on parking and public transport fees</w:t>
            </w:r>
            <w:r>
              <w:t xml:space="preserve"> </w:t>
            </w:r>
          </w:p>
        </w:tc>
        <w:tc>
          <w:tcPr>
            <w:tcW w:w="1208" w:type="dxa"/>
            <w:shd w:val="clear" w:color="auto" w:fill="auto"/>
          </w:tcPr>
          <w:p w14:paraId="7C193E2B"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6F72F3ED" w14:textId="77777777" w:rsidR="00C72836" w:rsidRPr="003608CE" w:rsidRDefault="00C72836" w:rsidP="009C357F">
            <w:pPr>
              <w:pStyle w:val="BStablefigures"/>
            </w:pPr>
            <w:r w:rsidRPr="003608CE">
              <w:t xml:space="preserve">0 </w:t>
            </w:r>
          </w:p>
        </w:tc>
        <w:tc>
          <w:tcPr>
            <w:tcW w:w="903" w:type="dxa"/>
            <w:shd w:val="clear" w:color="auto" w:fill="auto"/>
          </w:tcPr>
          <w:p w14:paraId="2804B220" w14:textId="77777777" w:rsidR="00C72836" w:rsidRPr="003608CE" w:rsidRDefault="00C72836" w:rsidP="009C357F">
            <w:pPr>
              <w:pStyle w:val="BStablefigures"/>
            </w:pPr>
            <w:r w:rsidRPr="003608CE">
              <w:t xml:space="preserve">1,200 </w:t>
            </w:r>
          </w:p>
        </w:tc>
        <w:tc>
          <w:tcPr>
            <w:tcW w:w="902" w:type="dxa"/>
            <w:shd w:val="clear" w:color="auto" w:fill="auto"/>
          </w:tcPr>
          <w:p w14:paraId="5732462C" w14:textId="77777777" w:rsidR="00C72836" w:rsidRPr="003608CE" w:rsidRDefault="00C72836" w:rsidP="009C357F">
            <w:pPr>
              <w:pStyle w:val="BStablefigures"/>
            </w:pPr>
            <w:r w:rsidRPr="003608CE">
              <w:t xml:space="preserve">1,300 </w:t>
            </w:r>
          </w:p>
        </w:tc>
        <w:tc>
          <w:tcPr>
            <w:tcW w:w="903" w:type="dxa"/>
            <w:shd w:val="clear" w:color="auto" w:fill="auto"/>
          </w:tcPr>
          <w:p w14:paraId="3EBAE9F0" w14:textId="77777777" w:rsidR="00C72836" w:rsidRPr="003608CE" w:rsidRDefault="00C72836" w:rsidP="009C357F">
            <w:pPr>
              <w:pStyle w:val="BStablefigures"/>
            </w:pPr>
            <w:r w:rsidRPr="003608CE">
              <w:t xml:space="preserve">1,400 </w:t>
            </w:r>
          </w:p>
        </w:tc>
        <w:tc>
          <w:tcPr>
            <w:tcW w:w="903" w:type="dxa"/>
            <w:shd w:val="clear" w:color="auto" w:fill="auto"/>
          </w:tcPr>
          <w:p w14:paraId="23AD81DE" w14:textId="77777777" w:rsidR="00C72836" w:rsidRPr="003608CE" w:rsidRDefault="00C72836" w:rsidP="009C357F">
            <w:pPr>
              <w:pStyle w:val="BStablefiguresbold"/>
            </w:pPr>
            <w:r w:rsidRPr="003608CE">
              <w:t xml:space="preserve">3,900 </w:t>
            </w:r>
          </w:p>
        </w:tc>
      </w:tr>
      <w:tr w:rsidR="00C72836" w:rsidRPr="003608CE" w14:paraId="4E639AF8" w14:textId="77777777" w:rsidTr="00BF7598">
        <w:trPr>
          <w:cantSplit/>
          <w:trHeight w:val="227"/>
          <w:jc w:val="center"/>
        </w:trPr>
        <w:tc>
          <w:tcPr>
            <w:tcW w:w="4253" w:type="dxa"/>
            <w:shd w:val="clear" w:color="auto" w:fill="auto"/>
          </w:tcPr>
          <w:p w14:paraId="2AD7BE19" w14:textId="4FFF6CF3" w:rsidR="00C72836" w:rsidRPr="003608CE" w:rsidRDefault="00C72836" w:rsidP="009C357F">
            <w:pPr>
              <w:pStyle w:val="BStabletext"/>
            </w:pPr>
            <w:r w:rsidRPr="003608CE">
              <w:t xml:space="preserve">Fee and charge reduction – </w:t>
            </w:r>
            <w:r>
              <w:t>o</w:t>
            </w:r>
            <w:r w:rsidRPr="003608CE">
              <w:t>ne-year freeze on vehicle registration fees</w:t>
            </w:r>
            <w:r>
              <w:t xml:space="preserve"> </w:t>
            </w:r>
          </w:p>
        </w:tc>
        <w:tc>
          <w:tcPr>
            <w:tcW w:w="1208" w:type="dxa"/>
            <w:shd w:val="clear" w:color="auto" w:fill="auto"/>
          </w:tcPr>
          <w:p w14:paraId="31A481C6"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0F1367B8" w14:textId="77777777" w:rsidR="00C72836" w:rsidRPr="003608CE" w:rsidRDefault="00C72836" w:rsidP="009C357F">
            <w:pPr>
              <w:pStyle w:val="BStablefigures"/>
            </w:pPr>
            <w:r w:rsidRPr="003608CE">
              <w:t xml:space="preserve">0 </w:t>
            </w:r>
          </w:p>
        </w:tc>
        <w:tc>
          <w:tcPr>
            <w:tcW w:w="903" w:type="dxa"/>
            <w:shd w:val="clear" w:color="auto" w:fill="auto"/>
          </w:tcPr>
          <w:p w14:paraId="767EA8B3" w14:textId="77777777" w:rsidR="00C72836" w:rsidRPr="003608CE" w:rsidRDefault="00C72836" w:rsidP="009C357F">
            <w:pPr>
              <w:pStyle w:val="BStablefigures"/>
            </w:pPr>
            <w:r w:rsidRPr="003608CE">
              <w:t xml:space="preserve">3,800 </w:t>
            </w:r>
          </w:p>
        </w:tc>
        <w:tc>
          <w:tcPr>
            <w:tcW w:w="902" w:type="dxa"/>
            <w:shd w:val="clear" w:color="auto" w:fill="auto"/>
          </w:tcPr>
          <w:p w14:paraId="741AD755" w14:textId="77777777" w:rsidR="00C72836" w:rsidRPr="003608CE" w:rsidRDefault="00C72836" w:rsidP="009C357F">
            <w:pPr>
              <w:pStyle w:val="BStablefigures"/>
            </w:pPr>
            <w:r w:rsidRPr="003608CE">
              <w:t xml:space="preserve">4,000 </w:t>
            </w:r>
          </w:p>
        </w:tc>
        <w:tc>
          <w:tcPr>
            <w:tcW w:w="903" w:type="dxa"/>
            <w:shd w:val="clear" w:color="auto" w:fill="auto"/>
          </w:tcPr>
          <w:p w14:paraId="44C3BEE8" w14:textId="77777777" w:rsidR="00C72836" w:rsidRPr="003608CE" w:rsidRDefault="00C72836" w:rsidP="009C357F">
            <w:pPr>
              <w:pStyle w:val="BStablefigures"/>
            </w:pPr>
            <w:r w:rsidRPr="003608CE">
              <w:t xml:space="preserve">4,200 </w:t>
            </w:r>
          </w:p>
        </w:tc>
        <w:tc>
          <w:tcPr>
            <w:tcW w:w="903" w:type="dxa"/>
            <w:shd w:val="clear" w:color="auto" w:fill="auto"/>
          </w:tcPr>
          <w:p w14:paraId="247F9AD5" w14:textId="77777777" w:rsidR="00C72836" w:rsidRPr="003608CE" w:rsidRDefault="00C72836" w:rsidP="009C357F">
            <w:pPr>
              <w:pStyle w:val="BStablefiguresbold"/>
            </w:pPr>
            <w:r w:rsidRPr="003608CE">
              <w:t xml:space="preserve">12,000 </w:t>
            </w:r>
          </w:p>
        </w:tc>
      </w:tr>
      <w:tr w:rsidR="00C72836" w:rsidRPr="003608CE" w14:paraId="7701D4DC" w14:textId="77777777" w:rsidTr="00BF7598">
        <w:trPr>
          <w:cantSplit/>
          <w:trHeight w:val="227"/>
          <w:jc w:val="center"/>
        </w:trPr>
        <w:tc>
          <w:tcPr>
            <w:tcW w:w="4253" w:type="dxa"/>
            <w:shd w:val="clear" w:color="auto" w:fill="auto"/>
          </w:tcPr>
          <w:p w14:paraId="5E3D01C5" w14:textId="73C4A523" w:rsidR="00C72836" w:rsidRPr="003608CE" w:rsidRDefault="00C72836" w:rsidP="009C357F">
            <w:pPr>
              <w:pStyle w:val="BStabletext"/>
            </w:pPr>
            <w:r w:rsidRPr="003608CE">
              <w:t xml:space="preserve">Freezing the Utilities Network Facilities Tax </w:t>
            </w:r>
          </w:p>
        </w:tc>
        <w:tc>
          <w:tcPr>
            <w:tcW w:w="1208" w:type="dxa"/>
            <w:shd w:val="clear" w:color="auto" w:fill="auto"/>
          </w:tcPr>
          <w:p w14:paraId="6579CF10"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0D097341" w14:textId="77777777" w:rsidR="00C72836" w:rsidRPr="003608CE" w:rsidRDefault="00C72836" w:rsidP="009C357F">
            <w:pPr>
              <w:pStyle w:val="BStablefigures"/>
            </w:pPr>
            <w:r w:rsidRPr="003608CE">
              <w:t xml:space="preserve">500 </w:t>
            </w:r>
          </w:p>
        </w:tc>
        <w:tc>
          <w:tcPr>
            <w:tcW w:w="903" w:type="dxa"/>
            <w:shd w:val="clear" w:color="auto" w:fill="auto"/>
          </w:tcPr>
          <w:p w14:paraId="3E97414E" w14:textId="77777777" w:rsidR="00C72836" w:rsidRPr="003608CE" w:rsidRDefault="00C72836" w:rsidP="009C357F">
            <w:pPr>
              <w:pStyle w:val="BStablefigures"/>
            </w:pPr>
            <w:r w:rsidRPr="003608CE">
              <w:t xml:space="preserve">1,500 </w:t>
            </w:r>
          </w:p>
        </w:tc>
        <w:tc>
          <w:tcPr>
            <w:tcW w:w="902" w:type="dxa"/>
            <w:shd w:val="clear" w:color="auto" w:fill="auto"/>
          </w:tcPr>
          <w:p w14:paraId="4BB12C1F" w14:textId="77777777" w:rsidR="00C72836" w:rsidRPr="003608CE" w:rsidRDefault="00C72836" w:rsidP="009C357F">
            <w:pPr>
              <w:pStyle w:val="BStablefigures"/>
            </w:pPr>
            <w:r w:rsidRPr="003608CE">
              <w:t xml:space="preserve">0 </w:t>
            </w:r>
          </w:p>
        </w:tc>
        <w:tc>
          <w:tcPr>
            <w:tcW w:w="903" w:type="dxa"/>
            <w:shd w:val="clear" w:color="auto" w:fill="auto"/>
          </w:tcPr>
          <w:p w14:paraId="66F6727B" w14:textId="77777777" w:rsidR="00C72836" w:rsidRPr="003608CE" w:rsidRDefault="00C72836" w:rsidP="009C357F">
            <w:pPr>
              <w:pStyle w:val="BStablefigures"/>
            </w:pPr>
            <w:r w:rsidRPr="003608CE">
              <w:t xml:space="preserve">0 </w:t>
            </w:r>
          </w:p>
        </w:tc>
        <w:tc>
          <w:tcPr>
            <w:tcW w:w="903" w:type="dxa"/>
            <w:shd w:val="clear" w:color="auto" w:fill="auto"/>
          </w:tcPr>
          <w:p w14:paraId="1792D4FE" w14:textId="77777777" w:rsidR="00C72836" w:rsidRPr="003608CE" w:rsidRDefault="00C72836" w:rsidP="009C357F">
            <w:pPr>
              <w:pStyle w:val="BStablefiguresbold"/>
            </w:pPr>
            <w:r w:rsidRPr="003608CE">
              <w:t xml:space="preserve">2,000 </w:t>
            </w:r>
          </w:p>
        </w:tc>
      </w:tr>
      <w:tr w:rsidR="00C72836" w:rsidRPr="003608CE" w14:paraId="1E558B27" w14:textId="77777777" w:rsidTr="00BF7598">
        <w:trPr>
          <w:cantSplit/>
          <w:trHeight w:val="227"/>
          <w:jc w:val="center"/>
        </w:trPr>
        <w:tc>
          <w:tcPr>
            <w:tcW w:w="4253" w:type="dxa"/>
            <w:shd w:val="clear" w:color="auto" w:fill="auto"/>
          </w:tcPr>
          <w:p w14:paraId="1C4FEBCB" w14:textId="682BCF82" w:rsidR="00C72836" w:rsidRPr="003608CE" w:rsidRDefault="00C72836" w:rsidP="009C357F">
            <w:pPr>
              <w:pStyle w:val="BStabletext"/>
            </w:pPr>
            <w:r w:rsidRPr="003608CE">
              <w:t>Residential rates – 2020-21 setting</w:t>
            </w:r>
            <w:r>
              <w:t xml:space="preserve"> </w:t>
            </w:r>
          </w:p>
        </w:tc>
        <w:tc>
          <w:tcPr>
            <w:tcW w:w="1208" w:type="dxa"/>
            <w:shd w:val="clear" w:color="auto" w:fill="auto"/>
          </w:tcPr>
          <w:p w14:paraId="41158591"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71B1D5B4" w14:textId="77777777" w:rsidR="00C72836" w:rsidRPr="003608CE" w:rsidRDefault="00C72836" w:rsidP="009C357F">
            <w:pPr>
              <w:pStyle w:val="BStablefigures"/>
            </w:pPr>
            <w:r w:rsidRPr="003608CE">
              <w:t xml:space="preserve">0 </w:t>
            </w:r>
          </w:p>
        </w:tc>
        <w:tc>
          <w:tcPr>
            <w:tcW w:w="903" w:type="dxa"/>
            <w:shd w:val="clear" w:color="auto" w:fill="auto"/>
          </w:tcPr>
          <w:p w14:paraId="4E6045EA" w14:textId="77777777" w:rsidR="00C72836" w:rsidRPr="003608CE" w:rsidRDefault="00C72836" w:rsidP="009C357F">
            <w:pPr>
              <w:pStyle w:val="BStablefigures"/>
            </w:pPr>
            <w:r w:rsidRPr="003608CE">
              <w:t xml:space="preserve">32,941 </w:t>
            </w:r>
          </w:p>
        </w:tc>
        <w:tc>
          <w:tcPr>
            <w:tcW w:w="902" w:type="dxa"/>
            <w:shd w:val="clear" w:color="auto" w:fill="auto"/>
          </w:tcPr>
          <w:p w14:paraId="5E66EEA8" w14:textId="77777777" w:rsidR="00C72836" w:rsidRPr="003608CE" w:rsidRDefault="00C72836" w:rsidP="009C357F">
            <w:pPr>
              <w:pStyle w:val="BStablefigures"/>
            </w:pPr>
            <w:r w:rsidRPr="003608CE">
              <w:t xml:space="preserve">7,887 </w:t>
            </w:r>
          </w:p>
        </w:tc>
        <w:tc>
          <w:tcPr>
            <w:tcW w:w="903" w:type="dxa"/>
            <w:shd w:val="clear" w:color="auto" w:fill="auto"/>
          </w:tcPr>
          <w:p w14:paraId="2DDE9C44" w14:textId="77777777" w:rsidR="00C72836" w:rsidRPr="003608CE" w:rsidRDefault="00C72836" w:rsidP="009C357F">
            <w:pPr>
              <w:pStyle w:val="BStablefigures"/>
            </w:pPr>
            <w:r w:rsidRPr="003608CE">
              <w:t xml:space="preserve">8,360 </w:t>
            </w:r>
          </w:p>
        </w:tc>
        <w:tc>
          <w:tcPr>
            <w:tcW w:w="903" w:type="dxa"/>
            <w:shd w:val="clear" w:color="auto" w:fill="auto"/>
          </w:tcPr>
          <w:p w14:paraId="501DB27F" w14:textId="77777777" w:rsidR="00C72836" w:rsidRPr="003608CE" w:rsidRDefault="00C72836" w:rsidP="009C357F">
            <w:pPr>
              <w:pStyle w:val="BStablefiguresbold"/>
            </w:pPr>
            <w:r w:rsidRPr="003608CE">
              <w:t xml:space="preserve">49,188 </w:t>
            </w:r>
          </w:p>
        </w:tc>
      </w:tr>
      <w:tr w:rsidR="00C72836" w:rsidRPr="003608CE" w14:paraId="022546C5" w14:textId="77777777" w:rsidTr="00BF7598">
        <w:trPr>
          <w:cantSplit/>
          <w:trHeight w:val="227"/>
          <w:jc w:val="center"/>
        </w:trPr>
        <w:tc>
          <w:tcPr>
            <w:tcW w:w="4253" w:type="dxa"/>
            <w:shd w:val="clear" w:color="auto" w:fill="auto"/>
          </w:tcPr>
          <w:p w14:paraId="52C828EA" w14:textId="77777777" w:rsidR="00C72836" w:rsidRPr="003608CE" w:rsidRDefault="00C72836" w:rsidP="009C357F">
            <w:pPr>
              <w:pStyle w:val="BStabletext"/>
            </w:pPr>
            <w:r w:rsidRPr="003608CE">
              <w:t xml:space="preserve">Residential rates – delay of issuance of residential rates and land tax bills </w:t>
            </w:r>
          </w:p>
        </w:tc>
        <w:tc>
          <w:tcPr>
            <w:tcW w:w="1208" w:type="dxa"/>
            <w:shd w:val="clear" w:color="auto" w:fill="auto"/>
          </w:tcPr>
          <w:p w14:paraId="63D6795D"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5FAD541" w14:textId="77777777" w:rsidR="00C72836" w:rsidRPr="003608CE" w:rsidRDefault="00C72836" w:rsidP="009C357F">
            <w:pPr>
              <w:pStyle w:val="BStablefigures"/>
            </w:pPr>
            <w:r w:rsidRPr="003608CE">
              <w:t xml:space="preserve">0 </w:t>
            </w:r>
          </w:p>
        </w:tc>
        <w:tc>
          <w:tcPr>
            <w:tcW w:w="903" w:type="dxa"/>
            <w:shd w:val="clear" w:color="auto" w:fill="auto"/>
          </w:tcPr>
          <w:p w14:paraId="72D3EABD" w14:textId="77777777" w:rsidR="00C72836" w:rsidRPr="003608CE" w:rsidRDefault="00C72836" w:rsidP="009C357F">
            <w:pPr>
              <w:pStyle w:val="BStablefigures"/>
            </w:pPr>
            <w:r w:rsidRPr="003608CE">
              <w:t xml:space="preserve">0 </w:t>
            </w:r>
          </w:p>
        </w:tc>
        <w:tc>
          <w:tcPr>
            <w:tcW w:w="902" w:type="dxa"/>
            <w:shd w:val="clear" w:color="auto" w:fill="auto"/>
          </w:tcPr>
          <w:p w14:paraId="46E1437B" w14:textId="77777777" w:rsidR="00C72836" w:rsidRPr="003608CE" w:rsidRDefault="00C72836" w:rsidP="009C357F">
            <w:pPr>
              <w:pStyle w:val="BStablefigures"/>
            </w:pPr>
            <w:r w:rsidRPr="003608CE">
              <w:t xml:space="preserve">0 </w:t>
            </w:r>
          </w:p>
        </w:tc>
        <w:tc>
          <w:tcPr>
            <w:tcW w:w="903" w:type="dxa"/>
            <w:shd w:val="clear" w:color="auto" w:fill="auto"/>
          </w:tcPr>
          <w:p w14:paraId="4AE69209" w14:textId="77777777" w:rsidR="00C72836" w:rsidRPr="003608CE" w:rsidRDefault="00C72836" w:rsidP="009C357F">
            <w:pPr>
              <w:pStyle w:val="BStablefigures"/>
            </w:pPr>
            <w:r w:rsidRPr="003608CE">
              <w:t xml:space="preserve">0 </w:t>
            </w:r>
          </w:p>
        </w:tc>
        <w:tc>
          <w:tcPr>
            <w:tcW w:w="903" w:type="dxa"/>
            <w:shd w:val="clear" w:color="auto" w:fill="auto"/>
          </w:tcPr>
          <w:p w14:paraId="0A7D40A2" w14:textId="77777777" w:rsidR="00C72836" w:rsidRPr="003608CE" w:rsidRDefault="00C72836" w:rsidP="009C357F">
            <w:pPr>
              <w:pStyle w:val="BStablefiguresbold"/>
            </w:pPr>
            <w:r w:rsidRPr="003608CE">
              <w:t xml:space="preserve">0 </w:t>
            </w:r>
          </w:p>
        </w:tc>
      </w:tr>
      <w:tr w:rsidR="00C72836" w:rsidRPr="003608CE" w14:paraId="3104FBDC" w14:textId="77777777" w:rsidTr="00BF7598">
        <w:trPr>
          <w:cantSplit/>
          <w:trHeight w:val="227"/>
          <w:jc w:val="center"/>
        </w:trPr>
        <w:tc>
          <w:tcPr>
            <w:tcW w:w="4253" w:type="dxa"/>
            <w:shd w:val="clear" w:color="auto" w:fill="auto"/>
          </w:tcPr>
          <w:p w14:paraId="6B18A4B8" w14:textId="296D7B9C" w:rsidR="00C72836" w:rsidRPr="0017795E" w:rsidRDefault="00C72836" w:rsidP="009C357F">
            <w:pPr>
              <w:pStyle w:val="BStabletext"/>
            </w:pPr>
            <w:r w:rsidRPr="0017795E">
              <w:t xml:space="preserve">Residential rates – </w:t>
            </w:r>
            <w:r w:rsidR="00E7412B" w:rsidRPr="0017795E">
              <w:t>e</w:t>
            </w:r>
            <w:r w:rsidRPr="0017795E">
              <w:t xml:space="preserve">xpanding access to residential general rates hardship deferral </w:t>
            </w:r>
          </w:p>
        </w:tc>
        <w:tc>
          <w:tcPr>
            <w:tcW w:w="1208" w:type="dxa"/>
            <w:shd w:val="clear" w:color="auto" w:fill="auto"/>
          </w:tcPr>
          <w:p w14:paraId="2B7406AE" w14:textId="77777777" w:rsidR="00C72836" w:rsidRPr="0017795E" w:rsidRDefault="00C72836" w:rsidP="00062636">
            <w:pPr>
              <w:spacing w:after="0" w:line="23" w:lineRule="atLeast"/>
              <w:jc w:val="center"/>
              <w:rPr>
                <w:sz w:val="16"/>
                <w:szCs w:val="16"/>
              </w:rPr>
            </w:pPr>
            <w:r w:rsidRPr="0017795E">
              <w:rPr>
                <w:sz w:val="16"/>
                <w:szCs w:val="16"/>
              </w:rPr>
              <w:t>Cash impact</w:t>
            </w:r>
          </w:p>
        </w:tc>
        <w:tc>
          <w:tcPr>
            <w:tcW w:w="902" w:type="dxa"/>
            <w:shd w:val="clear" w:color="auto" w:fill="auto"/>
          </w:tcPr>
          <w:p w14:paraId="1D3117E8" w14:textId="77777777" w:rsidR="00C72836" w:rsidRPr="0017795E" w:rsidRDefault="00C72836" w:rsidP="009C357F">
            <w:pPr>
              <w:pStyle w:val="BStablefigures"/>
            </w:pPr>
            <w:r w:rsidRPr="0017795E">
              <w:t>~</w:t>
            </w:r>
          </w:p>
        </w:tc>
        <w:tc>
          <w:tcPr>
            <w:tcW w:w="903" w:type="dxa"/>
            <w:shd w:val="clear" w:color="auto" w:fill="auto"/>
          </w:tcPr>
          <w:p w14:paraId="7F6ED8D3" w14:textId="77777777" w:rsidR="00C72836" w:rsidRPr="003608CE" w:rsidRDefault="00C72836" w:rsidP="009C357F">
            <w:pPr>
              <w:pStyle w:val="BStablefigures"/>
            </w:pPr>
            <w:r w:rsidRPr="003608CE">
              <w:t>~</w:t>
            </w:r>
          </w:p>
        </w:tc>
        <w:tc>
          <w:tcPr>
            <w:tcW w:w="902" w:type="dxa"/>
            <w:shd w:val="clear" w:color="auto" w:fill="auto"/>
          </w:tcPr>
          <w:p w14:paraId="5A8103AC" w14:textId="77777777" w:rsidR="00C72836" w:rsidRPr="003608CE" w:rsidRDefault="00C72836" w:rsidP="009C357F">
            <w:pPr>
              <w:pStyle w:val="BStablefigures"/>
            </w:pPr>
            <w:r w:rsidRPr="003608CE">
              <w:t xml:space="preserve">0 </w:t>
            </w:r>
          </w:p>
        </w:tc>
        <w:tc>
          <w:tcPr>
            <w:tcW w:w="903" w:type="dxa"/>
            <w:shd w:val="clear" w:color="auto" w:fill="auto"/>
          </w:tcPr>
          <w:p w14:paraId="2276C26A" w14:textId="77777777" w:rsidR="00C72836" w:rsidRPr="003608CE" w:rsidRDefault="00C72836" w:rsidP="009C357F">
            <w:pPr>
              <w:pStyle w:val="BStablefigures"/>
            </w:pPr>
            <w:r w:rsidRPr="003608CE">
              <w:t xml:space="preserve">0 </w:t>
            </w:r>
          </w:p>
        </w:tc>
        <w:tc>
          <w:tcPr>
            <w:tcW w:w="903" w:type="dxa"/>
            <w:shd w:val="clear" w:color="auto" w:fill="auto"/>
          </w:tcPr>
          <w:p w14:paraId="410D29AF" w14:textId="77777777" w:rsidR="00C72836" w:rsidRPr="003608CE" w:rsidRDefault="00C72836" w:rsidP="009C357F">
            <w:pPr>
              <w:pStyle w:val="BStablefiguresbold"/>
            </w:pPr>
            <w:r>
              <w:t>~</w:t>
            </w:r>
            <w:r w:rsidRPr="003608CE">
              <w:t xml:space="preserve"> </w:t>
            </w:r>
          </w:p>
        </w:tc>
      </w:tr>
      <w:tr w:rsidR="00C72836" w:rsidRPr="003608CE" w14:paraId="0A9C09FF" w14:textId="77777777" w:rsidTr="00BF7598">
        <w:trPr>
          <w:cantSplit/>
          <w:trHeight w:val="227"/>
          <w:jc w:val="center"/>
        </w:trPr>
        <w:tc>
          <w:tcPr>
            <w:tcW w:w="4253" w:type="dxa"/>
            <w:shd w:val="clear" w:color="auto" w:fill="auto"/>
          </w:tcPr>
          <w:p w14:paraId="273F063C" w14:textId="49A2EC2B" w:rsidR="00C72836" w:rsidRPr="0017795E" w:rsidRDefault="00C72836" w:rsidP="009C357F">
            <w:pPr>
              <w:pStyle w:val="BStabletext"/>
            </w:pPr>
            <w:r w:rsidRPr="0017795E">
              <w:t>Residential stamp duty reductions</w:t>
            </w:r>
          </w:p>
        </w:tc>
        <w:tc>
          <w:tcPr>
            <w:tcW w:w="1208" w:type="dxa"/>
            <w:shd w:val="clear" w:color="auto" w:fill="auto"/>
          </w:tcPr>
          <w:p w14:paraId="37DEE112" w14:textId="77777777" w:rsidR="00C72836" w:rsidRPr="0017795E" w:rsidRDefault="00C72836" w:rsidP="00062636">
            <w:pPr>
              <w:spacing w:after="0" w:line="23" w:lineRule="atLeast"/>
              <w:jc w:val="center"/>
              <w:rPr>
                <w:sz w:val="16"/>
                <w:szCs w:val="16"/>
              </w:rPr>
            </w:pPr>
            <w:r w:rsidRPr="0017795E">
              <w:rPr>
                <w:sz w:val="16"/>
                <w:szCs w:val="16"/>
              </w:rPr>
              <w:t>Revenue</w:t>
            </w:r>
          </w:p>
        </w:tc>
        <w:tc>
          <w:tcPr>
            <w:tcW w:w="902" w:type="dxa"/>
            <w:shd w:val="clear" w:color="auto" w:fill="auto"/>
          </w:tcPr>
          <w:p w14:paraId="7C6D4EFF" w14:textId="77777777" w:rsidR="00C72836" w:rsidRPr="0017795E" w:rsidRDefault="00C72836" w:rsidP="009C357F">
            <w:pPr>
              <w:pStyle w:val="BStablefigures"/>
            </w:pPr>
            <w:r w:rsidRPr="0017795E">
              <w:t xml:space="preserve">0 </w:t>
            </w:r>
          </w:p>
        </w:tc>
        <w:tc>
          <w:tcPr>
            <w:tcW w:w="903" w:type="dxa"/>
            <w:shd w:val="clear" w:color="auto" w:fill="auto"/>
          </w:tcPr>
          <w:p w14:paraId="087C7637" w14:textId="77777777" w:rsidR="00C72836" w:rsidRPr="003608CE" w:rsidRDefault="00C72836" w:rsidP="009C357F">
            <w:pPr>
              <w:pStyle w:val="BStablefigures"/>
            </w:pPr>
            <w:r w:rsidRPr="003608CE">
              <w:t xml:space="preserve">-7,300 </w:t>
            </w:r>
          </w:p>
        </w:tc>
        <w:tc>
          <w:tcPr>
            <w:tcW w:w="902" w:type="dxa"/>
            <w:shd w:val="clear" w:color="auto" w:fill="auto"/>
          </w:tcPr>
          <w:p w14:paraId="29CFCCE9" w14:textId="77777777" w:rsidR="00C72836" w:rsidRPr="003608CE" w:rsidRDefault="00C72836" w:rsidP="009C357F">
            <w:pPr>
              <w:pStyle w:val="BStablefigures"/>
            </w:pPr>
            <w:r w:rsidRPr="003608CE">
              <w:t xml:space="preserve">11,700 </w:t>
            </w:r>
          </w:p>
        </w:tc>
        <w:tc>
          <w:tcPr>
            <w:tcW w:w="903" w:type="dxa"/>
            <w:shd w:val="clear" w:color="auto" w:fill="auto"/>
          </w:tcPr>
          <w:p w14:paraId="23F4D193" w14:textId="77777777" w:rsidR="00C72836" w:rsidRPr="003608CE" w:rsidRDefault="00C72836" w:rsidP="009C357F">
            <w:pPr>
              <w:pStyle w:val="BStablefigures"/>
            </w:pPr>
            <w:r w:rsidRPr="003608CE">
              <w:t xml:space="preserve">0 </w:t>
            </w:r>
          </w:p>
        </w:tc>
        <w:tc>
          <w:tcPr>
            <w:tcW w:w="903" w:type="dxa"/>
            <w:shd w:val="clear" w:color="auto" w:fill="auto"/>
          </w:tcPr>
          <w:p w14:paraId="0218C075" w14:textId="77777777" w:rsidR="00C72836" w:rsidRPr="003608CE" w:rsidRDefault="00C72836" w:rsidP="009C357F">
            <w:pPr>
              <w:pStyle w:val="BStablefiguresbold"/>
            </w:pPr>
            <w:r w:rsidRPr="003608CE">
              <w:t xml:space="preserve">4,400 </w:t>
            </w:r>
          </w:p>
        </w:tc>
      </w:tr>
      <w:tr w:rsidR="00C72836" w:rsidRPr="003608CE" w14:paraId="78BBECEB" w14:textId="77777777" w:rsidTr="00BF7598">
        <w:trPr>
          <w:cantSplit/>
          <w:trHeight w:val="227"/>
          <w:jc w:val="center"/>
        </w:trPr>
        <w:tc>
          <w:tcPr>
            <w:tcW w:w="4253" w:type="dxa"/>
            <w:shd w:val="clear" w:color="auto" w:fill="auto"/>
          </w:tcPr>
          <w:p w14:paraId="1F3825AD" w14:textId="15037A5A" w:rsidR="00C72836" w:rsidRPr="003608CE" w:rsidRDefault="00C72836" w:rsidP="009C357F">
            <w:pPr>
              <w:pStyle w:val="BStabletext"/>
            </w:pPr>
            <w:r w:rsidRPr="003608CE">
              <w:t>Residential tenancy relief</w:t>
            </w:r>
            <w:r>
              <w:t xml:space="preserve"> </w:t>
            </w:r>
          </w:p>
        </w:tc>
        <w:tc>
          <w:tcPr>
            <w:tcW w:w="1208" w:type="dxa"/>
            <w:shd w:val="clear" w:color="auto" w:fill="auto"/>
          </w:tcPr>
          <w:p w14:paraId="480A247F"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shd w:val="clear" w:color="auto" w:fill="auto"/>
          </w:tcPr>
          <w:p w14:paraId="4826F1BE" w14:textId="77777777" w:rsidR="00C72836" w:rsidRPr="003608CE" w:rsidRDefault="00C72836" w:rsidP="009C357F">
            <w:pPr>
              <w:pStyle w:val="BStablefigures"/>
            </w:pPr>
            <w:r w:rsidRPr="003608CE">
              <w:t xml:space="preserve">3,500 </w:t>
            </w:r>
          </w:p>
        </w:tc>
        <w:tc>
          <w:tcPr>
            <w:tcW w:w="903" w:type="dxa"/>
            <w:shd w:val="clear" w:color="auto" w:fill="auto"/>
          </w:tcPr>
          <w:p w14:paraId="1914E0D7" w14:textId="77777777" w:rsidR="00C72836" w:rsidRPr="003608CE" w:rsidRDefault="00C72836" w:rsidP="009C357F">
            <w:pPr>
              <w:pStyle w:val="BStablefigures"/>
            </w:pPr>
            <w:r w:rsidRPr="003608CE">
              <w:t xml:space="preserve">3,500 </w:t>
            </w:r>
          </w:p>
        </w:tc>
        <w:tc>
          <w:tcPr>
            <w:tcW w:w="902" w:type="dxa"/>
            <w:shd w:val="clear" w:color="auto" w:fill="auto"/>
          </w:tcPr>
          <w:p w14:paraId="51025146" w14:textId="77777777" w:rsidR="00C72836" w:rsidRPr="003608CE" w:rsidRDefault="00C72836" w:rsidP="009C357F">
            <w:pPr>
              <w:pStyle w:val="BStablefigures"/>
            </w:pPr>
            <w:r w:rsidRPr="003608CE">
              <w:t xml:space="preserve">0 </w:t>
            </w:r>
          </w:p>
        </w:tc>
        <w:tc>
          <w:tcPr>
            <w:tcW w:w="903" w:type="dxa"/>
            <w:shd w:val="clear" w:color="auto" w:fill="auto"/>
          </w:tcPr>
          <w:p w14:paraId="60F4DAF8" w14:textId="77777777" w:rsidR="00C72836" w:rsidRPr="003608CE" w:rsidRDefault="00C72836" w:rsidP="009C357F">
            <w:pPr>
              <w:pStyle w:val="BStablefigures"/>
            </w:pPr>
            <w:r w:rsidRPr="003608CE">
              <w:t xml:space="preserve">0 </w:t>
            </w:r>
          </w:p>
        </w:tc>
        <w:tc>
          <w:tcPr>
            <w:tcW w:w="903" w:type="dxa"/>
            <w:shd w:val="clear" w:color="auto" w:fill="auto"/>
          </w:tcPr>
          <w:p w14:paraId="2C81558E" w14:textId="77777777" w:rsidR="00C72836" w:rsidRPr="003608CE" w:rsidRDefault="00C72836" w:rsidP="009C357F">
            <w:pPr>
              <w:pStyle w:val="BStablefiguresbold"/>
            </w:pPr>
            <w:r w:rsidRPr="003608CE">
              <w:t xml:space="preserve">7,000 </w:t>
            </w:r>
          </w:p>
        </w:tc>
      </w:tr>
      <w:tr w:rsidR="00C72836" w:rsidRPr="003608CE" w14:paraId="3774B35B" w14:textId="77777777" w:rsidTr="00BF7598">
        <w:trPr>
          <w:cantSplit/>
          <w:trHeight w:val="227"/>
          <w:jc w:val="center"/>
        </w:trPr>
        <w:tc>
          <w:tcPr>
            <w:tcW w:w="4253" w:type="dxa"/>
            <w:shd w:val="clear" w:color="auto" w:fill="auto"/>
          </w:tcPr>
          <w:p w14:paraId="5C7CE662" w14:textId="77777777" w:rsidR="00C72836" w:rsidRPr="003608CE" w:rsidRDefault="00C72836" w:rsidP="009C357F">
            <w:pPr>
              <w:pStyle w:val="BStabletext"/>
            </w:pPr>
            <w:r w:rsidRPr="003608CE">
              <w:t>Support for international students</w:t>
            </w:r>
          </w:p>
        </w:tc>
        <w:tc>
          <w:tcPr>
            <w:tcW w:w="1208" w:type="dxa"/>
            <w:shd w:val="clear" w:color="auto" w:fill="auto"/>
          </w:tcPr>
          <w:p w14:paraId="3E9F36E9"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7D0A6567" w14:textId="77777777" w:rsidR="00C72836" w:rsidRPr="003608CE" w:rsidRDefault="00C72836" w:rsidP="009C357F">
            <w:pPr>
              <w:pStyle w:val="BStablefigures"/>
            </w:pPr>
            <w:r w:rsidRPr="003608CE">
              <w:t xml:space="preserve">150 </w:t>
            </w:r>
          </w:p>
        </w:tc>
        <w:tc>
          <w:tcPr>
            <w:tcW w:w="903" w:type="dxa"/>
            <w:shd w:val="clear" w:color="auto" w:fill="auto"/>
          </w:tcPr>
          <w:p w14:paraId="12E11BAE" w14:textId="77777777" w:rsidR="00C72836" w:rsidRPr="003608CE" w:rsidRDefault="00C72836" w:rsidP="009C357F">
            <w:pPr>
              <w:pStyle w:val="BStablefigures"/>
            </w:pPr>
            <w:r w:rsidRPr="003608CE">
              <w:t xml:space="preserve">0 </w:t>
            </w:r>
          </w:p>
        </w:tc>
        <w:tc>
          <w:tcPr>
            <w:tcW w:w="902" w:type="dxa"/>
            <w:shd w:val="clear" w:color="auto" w:fill="auto"/>
          </w:tcPr>
          <w:p w14:paraId="60EF8E0B" w14:textId="77777777" w:rsidR="00C72836" w:rsidRPr="003608CE" w:rsidRDefault="00C72836" w:rsidP="009C357F">
            <w:pPr>
              <w:pStyle w:val="BStablefigures"/>
            </w:pPr>
            <w:r w:rsidRPr="003608CE">
              <w:t xml:space="preserve">0 </w:t>
            </w:r>
          </w:p>
        </w:tc>
        <w:tc>
          <w:tcPr>
            <w:tcW w:w="903" w:type="dxa"/>
            <w:shd w:val="clear" w:color="auto" w:fill="auto"/>
          </w:tcPr>
          <w:p w14:paraId="61291FCD" w14:textId="77777777" w:rsidR="00C72836" w:rsidRPr="003608CE" w:rsidRDefault="00C72836" w:rsidP="009C357F">
            <w:pPr>
              <w:pStyle w:val="BStablefigures"/>
            </w:pPr>
            <w:r w:rsidRPr="003608CE">
              <w:t xml:space="preserve">0 </w:t>
            </w:r>
          </w:p>
        </w:tc>
        <w:tc>
          <w:tcPr>
            <w:tcW w:w="903" w:type="dxa"/>
            <w:shd w:val="clear" w:color="auto" w:fill="auto"/>
          </w:tcPr>
          <w:p w14:paraId="01B5D338" w14:textId="77777777" w:rsidR="00C72836" w:rsidRPr="003608CE" w:rsidRDefault="00C72836" w:rsidP="009C357F">
            <w:pPr>
              <w:pStyle w:val="BStablefiguresbold"/>
            </w:pPr>
            <w:r w:rsidRPr="003608CE">
              <w:t xml:space="preserve">150 </w:t>
            </w:r>
          </w:p>
        </w:tc>
      </w:tr>
      <w:tr w:rsidR="00C72836" w:rsidRPr="003608CE" w14:paraId="1ED70ED9" w14:textId="77777777" w:rsidTr="00BF7598">
        <w:trPr>
          <w:cantSplit/>
          <w:trHeight w:val="227"/>
          <w:jc w:val="center"/>
        </w:trPr>
        <w:tc>
          <w:tcPr>
            <w:tcW w:w="4253" w:type="dxa"/>
            <w:shd w:val="clear" w:color="auto" w:fill="auto"/>
          </w:tcPr>
          <w:p w14:paraId="131183C1" w14:textId="77777777" w:rsidR="00C72836" w:rsidRPr="003608CE" w:rsidRDefault="00C72836" w:rsidP="009C357F">
            <w:pPr>
              <w:pStyle w:val="BStabletext"/>
            </w:pPr>
            <w:r w:rsidRPr="003608CE">
              <w:t>Utilities hardship</w:t>
            </w:r>
          </w:p>
        </w:tc>
        <w:tc>
          <w:tcPr>
            <w:tcW w:w="1208" w:type="dxa"/>
            <w:shd w:val="clear" w:color="auto" w:fill="auto"/>
          </w:tcPr>
          <w:p w14:paraId="21F8377E"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4A758EFA" w14:textId="77777777" w:rsidR="00C72836" w:rsidRPr="003608CE" w:rsidRDefault="00C72836" w:rsidP="009C357F">
            <w:pPr>
              <w:pStyle w:val="BStablefigures"/>
            </w:pPr>
            <w:r w:rsidRPr="003608CE">
              <w:t xml:space="preserve">250 </w:t>
            </w:r>
          </w:p>
        </w:tc>
        <w:tc>
          <w:tcPr>
            <w:tcW w:w="903" w:type="dxa"/>
            <w:shd w:val="clear" w:color="auto" w:fill="auto"/>
          </w:tcPr>
          <w:p w14:paraId="1AFADB1F" w14:textId="77777777" w:rsidR="00C72836" w:rsidRPr="003608CE" w:rsidRDefault="00C72836" w:rsidP="009C357F">
            <w:pPr>
              <w:pStyle w:val="BStablefigures"/>
            </w:pPr>
            <w:r w:rsidRPr="003608CE">
              <w:t xml:space="preserve">0 </w:t>
            </w:r>
          </w:p>
        </w:tc>
        <w:tc>
          <w:tcPr>
            <w:tcW w:w="902" w:type="dxa"/>
            <w:shd w:val="clear" w:color="auto" w:fill="auto"/>
          </w:tcPr>
          <w:p w14:paraId="24B506FC" w14:textId="77777777" w:rsidR="00C72836" w:rsidRPr="003608CE" w:rsidRDefault="00C72836" w:rsidP="009C357F">
            <w:pPr>
              <w:pStyle w:val="BStablefigures"/>
            </w:pPr>
            <w:r w:rsidRPr="003608CE">
              <w:t xml:space="preserve">0 </w:t>
            </w:r>
          </w:p>
        </w:tc>
        <w:tc>
          <w:tcPr>
            <w:tcW w:w="903" w:type="dxa"/>
            <w:shd w:val="clear" w:color="auto" w:fill="auto"/>
          </w:tcPr>
          <w:p w14:paraId="4FD9B967" w14:textId="77777777" w:rsidR="00C72836" w:rsidRPr="003608CE" w:rsidRDefault="00C72836" w:rsidP="009C357F">
            <w:pPr>
              <w:pStyle w:val="BStablefigures"/>
            </w:pPr>
            <w:r w:rsidRPr="003608CE">
              <w:t xml:space="preserve">0 </w:t>
            </w:r>
          </w:p>
        </w:tc>
        <w:tc>
          <w:tcPr>
            <w:tcW w:w="903" w:type="dxa"/>
            <w:shd w:val="clear" w:color="auto" w:fill="auto"/>
          </w:tcPr>
          <w:p w14:paraId="6EAA85AC" w14:textId="77777777" w:rsidR="00C72836" w:rsidRPr="003608CE" w:rsidRDefault="00C72836" w:rsidP="009C357F">
            <w:pPr>
              <w:pStyle w:val="BStablefiguresbold"/>
            </w:pPr>
            <w:r w:rsidRPr="003608CE">
              <w:t xml:space="preserve">250 </w:t>
            </w:r>
          </w:p>
        </w:tc>
      </w:tr>
      <w:tr w:rsidR="00C72836" w:rsidRPr="00932AF2" w14:paraId="6BBAEAE4" w14:textId="77777777" w:rsidTr="00BF7598">
        <w:trPr>
          <w:cantSplit/>
          <w:trHeight w:val="227"/>
          <w:jc w:val="center"/>
        </w:trPr>
        <w:tc>
          <w:tcPr>
            <w:tcW w:w="4253" w:type="dxa"/>
            <w:shd w:val="clear" w:color="auto" w:fill="auto"/>
          </w:tcPr>
          <w:p w14:paraId="3B615BF2" w14:textId="77777777" w:rsidR="00C72836" w:rsidRPr="00932AF2" w:rsidRDefault="00C72836" w:rsidP="009C357F">
            <w:pPr>
              <w:pStyle w:val="BStabletextbold"/>
            </w:pPr>
          </w:p>
        </w:tc>
        <w:tc>
          <w:tcPr>
            <w:tcW w:w="1208" w:type="dxa"/>
          </w:tcPr>
          <w:p w14:paraId="211126D6" w14:textId="77777777" w:rsidR="00C72836" w:rsidRPr="00500F23" w:rsidRDefault="00C72836" w:rsidP="009C357F">
            <w:pPr>
              <w:pStyle w:val="BStablefigures"/>
            </w:pPr>
          </w:p>
        </w:tc>
        <w:tc>
          <w:tcPr>
            <w:tcW w:w="902" w:type="dxa"/>
            <w:shd w:val="clear" w:color="auto" w:fill="auto"/>
          </w:tcPr>
          <w:p w14:paraId="2A0BA401" w14:textId="77777777" w:rsidR="00C72836" w:rsidRPr="00932AF2" w:rsidRDefault="00C72836" w:rsidP="009C357F">
            <w:pPr>
              <w:pStyle w:val="BStablefigures"/>
            </w:pPr>
          </w:p>
        </w:tc>
        <w:tc>
          <w:tcPr>
            <w:tcW w:w="903" w:type="dxa"/>
            <w:shd w:val="clear" w:color="auto" w:fill="auto"/>
          </w:tcPr>
          <w:p w14:paraId="1B9F800D" w14:textId="77777777" w:rsidR="00C72836" w:rsidRPr="00932AF2" w:rsidRDefault="00C72836" w:rsidP="009C357F">
            <w:pPr>
              <w:pStyle w:val="BStablefigures"/>
            </w:pPr>
          </w:p>
        </w:tc>
        <w:tc>
          <w:tcPr>
            <w:tcW w:w="902" w:type="dxa"/>
            <w:shd w:val="clear" w:color="auto" w:fill="auto"/>
          </w:tcPr>
          <w:p w14:paraId="5100235A" w14:textId="77777777" w:rsidR="00C72836" w:rsidRPr="00932AF2" w:rsidRDefault="00C72836" w:rsidP="009C357F">
            <w:pPr>
              <w:pStyle w:val="BStablefigures"/>
            </w:pPr>
          </w:p>
        </w:tc>
        <w:tc>
          <w:tcPr>
            <w:tcW w:w="903" w:type="dxa"/>
            <w:shd w:val="clear" w:color="auto" w:fill="auto"/>
          </w:tcPr>
          <w:p w14:paraId="0D59091E" w14:textId="77777777" w:rsidR="00C72836" w:rsidRPr="00932AF2" w:rsidRDefault="00C72836" w:rsidP="009C357F">
            <w:pPr>
              <w:pStyle w:val="BStablefigures"/>
            </w:pPr>
          </w:p>
        </w:tc>
        <w:tc>
          <w:tcPr>
            <w:tcW w:w="903" w:type="dxa"/>
            <w:shd w:val="clear" w:color="auto" w:fill="auto"/>
          </w:tcPr>
          <w:p w14:paraId="2BBF7A13" w14:textId="77777777" w:rsidR="00C72836" w:rsidRPr="00932AF2" w:rsidRDefault="00C72836" w:rsidP="009C357F">
            <w:pPr>
              <w:pStyle w:val="BStablefiguresbold"/>
            </w:pPr>
          </w:p>
        </w:tc>
      </w:tr>
      <w:tr w:rsidR="00C72836" w:rsidRPr="003608CE" w14:paraId="3C3050F1" w14:textId="77777777" w:rsidTr="00BF7598">
        <w:trPr>
          <w:cantSplit/>
          <w:trHeight w:val="227"/>
          <w:jc w:val="center"/>
        </w:trPr>
        <w:tc>
          <w:tcPr>
            <w:tcW w:w="4253" w:type="dxa"/>
            <w:shd w:val="clear" w:color="auto" w:fill="auto"/>
          </w:tcPr>
          <w:p w14:paraId="56D85282" w14:textId="77777777" w:rsidR="00C72836" w:rsidRPr="003608CE" w:rsidRDefault="00C72836" w:rsidP="009C357F">
            <w:pPr>
              <w:pStyle w:val="BStabletextbold"/>
            </w:pPr>
            <w:r w:rsidRPr="003608CE">
              <w:t>Keeping Canberrans employed</w:t>
            </w:r>
          </w:p>
        </w:tc>
        <w:tc>
          <w:tcPr>
            <w:tcW w:w="1208" w:type="dxa"/>
            <w:shd w:val="clear" w:color="auto" w:fill="auto"/>
          </w:tcPr>
          <w:p w14:paraId="43E2365E" w14:textId="77777777" w:rsidR="00C72836" w:rsidRPr="00500F23" w:rsidRDefault="00C72836" w:rsidP="009C357F">
            <w:pPr>
              <w:pStyle w:val="BStablefigures"/>
            </w:pPr>
          </w:p>
        </w:tc>
        <w:tc>
          <w:tcPr>
            <w:tcW w:w="902" w:type="dxa"/>
            <w:shd w:val="clear" w:color="auto" w:fill="auto"/>
          </w:tcPr>
          <w:p w14:paraId="584C98A0" w14:textId="77777777" w:rsidR="00C72836" w:rsidRPr="003608CE" w:rsidRDefault="00C72836" w:rsidP="009C357F">
            <w:pPr>
              <w:pStyle w:val="BStablefigures"/>
            </w:pPr>
          </w:p>
        </w:tc>
        <w:tc>
          <w:tcPr>
            <w:tcW w:w="903" w:type="dxa"/>
            <w:shd w:val="clear" w:color="auto" w:fill="auto"/>
          </w:tcPr>
          <w:p w14:paraId="0D882239" w14:textId="77777777" w:rsidR="00C72836" w:rsidRPr="003608CE" w:rsidRDefault="00C72836" w:rsidP="009C357F">
            <w:pPr>
              <w:pStyle w:val="BStablefigures"/>
            </w:pPr>
          </w:p>
        </w:tc>
        <w:tc>
          <w:tcPr>
            <w:tcW w:w="902" w:type="dxa"/>
            <w:shd w:val="clear" w:color="auto" w:fill="auto"/>
          </w:tcPr>
          <w:p w14:paraId="3A958DFE" w14:textId="77777777" w:rsidR="00C72836" w:rsidRPr="003608CE" w:rsidRDefault="00C72836" w:rsidP="009C357F">
            <w:pPr>
              <w:pStyle w:val="BStablefigures"/>
            </w:pPr>
          </w:p>
        </w:tc>
        <w:tc>
          <w:tcPr>
            <w:tcW w:w="903" w:type="dxa"/>
            <w:shd w:val="clear" w:color="auto" w:fill="auto"/>
          </w:tcPr>
          <w:p w14:paraId="16752656" w14:textId="77777777" w:rsidR="00C72836" w:rsidRPr="003608CE" w:rsidRDefault="00C72836" w:rsidP="009C357F">
            <w:pPr>
              <w:pStyle w:val="BStablefigures"/>
            </w:pPr>
          </w:p>
        </w:tc>
        <w:tc>
          <w:tcPr>
            <w:tcW w:w="903" w:type="dxa"/>
            <w:shd w:val="clear" w:color="auto" w:fill="auto"/>
          </w:tcPr>
          <w:p w14:paraId="274C7BA6" w14:textId="77777777" w:rsidR="00C72836" w:rsidRPr="003608CE" w:rsidRDefault="00C72836" w:rsidP="009C357F">
            <w:pPr>
              <w:pStyle w:val="BStablefiguresbold"/>
            </w:pPr>
          </w:p>
        </w:tc>
      </w:tr>
      <w:tr w:rsidR="00C72836" w:rsidRPr="003608CE" w14:paraId="6CDB2BFE" w14:textId="77777777" w:rsidTr="00BF7598">
        <w:trPr>
          <w:cantSplit/>
          <w:trHeight w:val="227"/>
          <w:jc w:val="center"/>
        </w:trPr>
        <w:tc>
          <w:tcPr>
            <w:tcW w:w="4253" w:type="dxa"/>
            <w:shd w:val="clear" w:color="auto" w:fill="auto"/>
          </w:tcPr>
          <w:p w14:paraId="249E0BE3" w14:textId="77777777" w:rsidR="00C72836" w:rsidRPr="003608CE" w:rsidRDefault="00C72836" w:rsidP="009C357F">
            <w:pPr>
              <w:pStyle w:val="BStabletext"/>
            </w:pPr>
            <w:r w:rsidRPr="003608CE">
              <w:t>Access to Portable Long Service Leave</w:t>
            </w:r>
          </w:p>
        </w:tc>
        <w:tc>
          <w:tcPr>
            <w:tcW w:w="1208" w:type="dxa"/>
            <w:shd w:val="clear" w:color="auto" w:fill="auto"/>
          </w:tcPr>
          <w:p w14:paraId="5E3AD13D"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1179FFD5" w14:textId="77777777" w:rsidR="00C72836" w:rsidRPr="003608CE" w:rsidRDefault="00C72836" w:rsidP="009C357F">
            <w:pPr>
              <w:pStyle w:val="BStablefigures"/>
            </w:pPr>
            <w:r w:rsidRPr="003608CE">
              <w:t xml:space="preserve">0 </w:t>
            </w:r>
          </w:p>
        </w:tc>
        <w:tc>
          <w:tcPr>
            <w:tcW w:w="903" w:type="dxa"/>
            <w:shd w:val="clear" w:color="auto" w:fill="auto"/>
          </w:tcPr>
          <w:p w14:paraId="10584CB9" w14:textId="77777777" w:rsidR="00C72836" w:rsidRPr="003608CE" w:rsidRDefault="00C72836" w:rsidP="009C357F">
            <w:pPr>
              <w:pStyle w:val="BStablefigures"/>
            </w:pPr>
            <w:r w:rsidRPr="003608CE">
              <w:t xml:space="preserve">0 </w:t>
            </w:r>
          </w:p>
        </w:tc>
        <w:tc>
          <w:tcPr>
            <w:tcW w:w="902" w:type="dxa"/>
            <w:shd w:val="clear" w:color="auto" w:fill="auto"/>
          </w:tcPr>
          <w:p w14:paraId="26840D7B" w14:textId="77777777" w:rsidR="00C72836" w:rsidRPr="003608CE" w:rsidRDefault="00C72836" w:rsidP="009C357F">
            <w:pPr>
              <w:pStyle w:val="BStablefigures"/>
            </w:pPr>
            <w:r w:rsidRPr="003608CE">
              <w:t xml:space="preserve">0 </w:t>
            </w:r>
          </w:p>
        </w:tc>
        <w:tc>
          <w:tcPr>
            <w:tcW w:w="903" w:type="dxa"/>
            <w:shd w:val="clear" w:color="auto" w:fill="auto"/>
          </w:tcPr>
          <w:p w14:paraId="3305EAF8" w14:textId="77777777" w:rsidR="00C72836" w:rsidRPr="003608CE" w:rsidRDefault="00C72836" w:rsidP="009C357F">
            <w:pPr>
              <w:pStyle w:val="BStablefigures"/>
            </w:pPr>
            <w:r w:rsidRPr="003608CE">
              <w:t xml:space="preserve">0 </w:t>
            </w:r>
          </w:p>
        </w:tc>
        <w:tc>
          <w:tcPr>
            <w:tcW w:w="903" w:type="dxa"/>
            <w:shd w:val="clear" w:color="auto" w:fill="auto"/>
          </w:tcPr>
          <w:p w14:paraId="05140A48" w14:textId="77777777" w:rsidR="00C72836" w:rsidRPr="003608CE" w:rsidRDefault="00C72836" w:rsidP="009C357F">
            <w:pPr>
              <w:pStyle w:val="BStablefiguresbold"/>
            </w:pPr>
            <w:r w:rsidRPr="003608CE">
              <w:t xml:space="preserve">0 </w:t>
            </w:r>
          </w:p>
        </w:tc>
      </w:tr>
      <w:tr w:rsidR="00C72836" w:rsidRPr="003608CE" w14:paraId="235F350C" w14:textId="77777777" w:rsidTr="00BF7598">
        <w:trPr>
          <w:cantSplit/>
          <w:trHeight w:val="227"/>
          <w:jc w:val="center"/>
        </w:trPr>
        <w:tc>
          <w:tcPr>
            <w:tcW w:w="4253" w:type="dxa"/>
            <w:shd w:val="clear" w:color="auto" w:fill="auto"/>
          </w:tcPr>
          <w:p w14:paraId="2F33A630" w14:textId="77777777" w:rsidR="00C72836" w:rsidRPr="003608CE" w:rsidRDefault="00C72836" w:rsidP="009C357F">
            <w:pPr>
              <w:pStyle w:val="BStabletext"/>
            </w:pPr>
            <w:r w:rsidRPr="003608CE">
              <w:t>Jobs for Canberrans Fund</w:t>
            </w:r>
          </w:p>
        </w:tc>
        <w:tc>
          <w:tcPr>
            <w:tcW w:w="1208" w:type="dxa"/>
            <w:shd w:val="clear" w:color="auto" w:fill="auto"/>
          </w:tcPr>
          <w:p w14:paraId="6B7B3D1A" w14:textId="77777777" w:rsidR="00C72836" w:rsidRPr="0052231E" w:rsidRDefault="00C72836" w:rsidP="00062636">
            <w:pPr>
              <w:spacing w:after="0" w:line="23" w:lineRule="atLeast"/>
              <w:jc w:val="center"/>
              <w:rPr>
                <w:sz w:val="16"/>
                <w:szCs w:val="16"/>
              </w:rPr>
            </w:pPr>
            <w:r w:rsidRPr="0052231E">
              <w:rPr>
                <w:sz w:val="16"/>
                <w:szCs w:val="16"/>
              </w:rPr>
              <w:t>Net Expense</w:t>
            </w:r>
          </w:p>
        </w:tc>
        <w:tc>
          <w:tcPr>
            <w:tcW w:w="902" w:type="dxa"/>
            <w:shd w:val="clear" w:color="auto" w:fill="auto"/>
          </w:tcPr>
          <w:p w14:paraId="71E3FB17" w14:textId="77777777" w:rsidR="00C72836" w:rsidRPr="003608CE" w:rsidRDefault="00C72836" w:rsidP="009C357F">
            <w:pPr>
              <w:pStyle w:val="BStablefigures"/>
            </w:pPr>
            <w:r w:rsidRPr="003608CE">
              <w:t xml:space="preserve">5,000 </w:t>
            </w:r>
          </w:p>
        </w:tc>
        <w:tc>
          <w:tcPr>
            <w:tcW w:w="903" w:type="dxa"/>
            <w:shd w:val="clear" w:color="auto" w:fill="auto"/>
          </w:tcPr>
          <w:p w14:paraId="522489E1" w14:textId="77777777" w:rsidR="00C72836" w:rsidRPr="003608CE" w:rsidRDefault="00C72836" w:rsidP="009C357F">
            <w:pPr>
              <w:pStyle w:val="BStablefigures"/>
            </w:pPr>
            <w:r w:rsidRPr="003608CE">
              <w:t xml:space="preserve">20,000 </w:t>
            </w:r>
          </w:p>
        </w:tc>
        <w:tc>
          <w:tcPr>
            <w:tcW w:w="902" w:type="dxa"/>
            <w:shd w:val="clear" w:color="auto" w:fill="auto"/>
          </w:tcPr>
          <w:p w14:paraId="5ECA6590" w14:textId="77777777" w:rsidR="00C72836" w:rsidRPr="003608CE" w:rsidRDefault="00C72836" w:rsidP="009C357F">
            <w:pPr>
              <w:pStyle w:val="BStablefigures"/>
            </w:pPr>
            <w:r w:rsidRPr="003608CE">
              <w:t xml:space="preserve">0 </w:t>
            </w:r>
          </w:p>
        </w:tc>
        <w:tc>
          <w:tcPr>
            <w:tcW w:w="903" w:type="dxa"/>
            <w:shd w:val="clear" w:color="auto" w:fill="auto"/>
          </w:tcPr>
          <w:p w14:paraId="15A72393" w14:textId="77777777" w:rsidR="00C72836" w:rsidRPr="003608CE" w:rsidRDefault="00C72836" w:rsidP="009C357F">
            <w:pPr>
              <w:pStyle w:val="BStablefigures"/>
            </w:pPr>
            <w:r w:rsidRPr="003608CE">
              <w:t xml:space="preserve">0 </w:t>
            </w:r>
          </w:p>
        </w:tc>
        <w:tc>
          <w:tcPr>
            <w:tcW w:w="903" w:type="dxa"/>
            <w:shd w:val="clear" w:color="auto" w:fill="auto"/>
          </w:tcPr>
          <w:p w14:paraId="480C8536" w14:textId="77777777" w:rsidR="00C72836" w:rsidRPr="003608CE" w:rsidRDefault="00C72836" w:rsidP="009C357F">
            <w:pPr>
              <w:pStyle w:val="BStablefiguresbold"/>
            </w:pPr>
            <w:r w:rsidRPr="003608CE">
              <w:t xml:space="preserve">25,000 </w:t>
            </w:r>
          </w:p>
        </w:tc>
      </w:tr>
      <w:tr w:rsidR="00C72836" w:rsidRPr="003608CE" w14:paraId="49BE9A32" w14:textId="77777777" w:rsidTr="00BF7598">
        <w:trPr>
          <w:cantSplit/>
          <w:trHeight w:val="227"/>
          <w:jc w:val="center"/>
        </w:trPr>
        <w:tc>
          <w:tcPr>
            <w:tcW w:w="4253" w:type="dxa"/>
            <w:shd w:val="clear" w:color="auto" w:fill="auto"/>
          </w:tcPr>
          <w:p w14:paraId="1682CB54" w14:textId="77777777" w:rsidR="00C72836" w:rsidRPr="0017795E" w:rsidRDefault="00C72836" w:rsidP="009C357F">
            <w:pPr>
              <w:pStyle w:val="BStabletext"/>
            </w:pPr>
            <w:r w:rsidRPr="0017795E">
              <w:t>Rapid rollout of ‘screwdriver ready’ minor capital works projects</w:t>
            </w:r>
          </w:p>
        </w:tc>
        <w:tc>
          <w:tcPr>
            <w:tcW w:w="1208" w:type="dxa"/>
            <w:shd w:val="clear" w:color="auto" w:fill="auto"/>
          </w:tcPr>
          <w:p w14:paraId="32BF114F" w14:textId="77777777" w:rsidR="00C72836" w:rsidRPr="0017795E" w:rsidRDefault="00C72836" w:rsidP="00062636">
            <w:pPr>
              <w:spacing w:after="0" w:line="23" w:lineRule="atLeast"/>
              <w:jc w:val="center"/>
              <w:rPr>
                <w:sz w:val="16"/>
                <w:szCs w:val="16"/>
              </w:rPr>
            </w:pPr>
            <w:r w:rsidRPr="0017795E">
              <w:rPr>
                <w:sz w:val="16"/>
                <w:szCs w:val="16"/>
              </w:rPr>
              <w:t>Capital</w:t>
            </w:r>
          </w:p>
        </w:tc>
        <w:tc>
          <w:tcPr>
            <w:tcW w:w="902" w:type="dxa"/>
            <w:shd w:val="clear" w:color="auto" w:fill="auto"/>
          </w:tcPr>
          <w:p w14:paraId="6707DB97" w14:textId="77777777" w:rsidR="00C72836" w:rsidRPr="0017795E" w:rsidRDefault="00C72836" w:rsidP="009C357F">
            <w:pPr>
              <w:pStyle w:val="BStablefigures"/>
            </w:pPr>
            <w:r w:rsidRPr="0017795E">
              <w:t xml:space="preserve">20,000 </w:t>
            </w:r>
          </w:p>
        </w:tc>
        <w:tc>
          <w:tcPr>
            <w:tcW w:w="903" w:type="dxa"/>
            <w:shd w:val="clear" w:color="auto" w:fill="auto"/>
          </w:tcPr>
          <w:p w14:paraId="33800C2B" w14:textId="77777777" w:rsidR="00C72836" w:rsidRPr="0017795E" w:rsidRDefault="00C72836" w:rsidP="009C357F">
            <w:pPr>
              <w:pStyle w:val="BStablefigures"/>
            </w:pPr>
            <w:r w:rsidRPr="0017795E">
              <w:t xml:space="preserve">8,000 </w:t>
            </w:r>
          </w:p>
        </w:tc>
        <w:tc>
          <w:tcPr>
            <w:tcW w:w="902" w:type="dxa"/>
            <w:shd w:val="clear" w:color="auto" w:fill="auto"/>
          </w:tcPr>
          <w:p w14:paraId="525F9F11" w14:textId="77777777" w:rsidR="00C72836" w:rsidRPr="003608CE" w:rsidRDefault="00C72836" w:rsidP="009C357F">
            <w:pPr>
              <w:pStyle w:val="BStablefigures"/>
            </w:pPr>
            <w:r w:rsidRPr="003608CE">
              <w:t xml:space="preserve">0 </w:t>
            </w:r>
          </w:p>
        </w:tc>
        <w:tc>
          <w:tcPr>
            <w:tcW w:w="903" w:type="dxa"/>
            <w:shd w:val="clear" w:color="auto" w:fill="auto"/>
          </w:tcPr>
          <w:p w14:paraId="39663A06" w14:textId="77777777" w:rsidR="00C72836" w:rsidRPr="003608CE" w:rsidRDefault="00C72836" w:rsidP="009C357F">
            <w:pPr>
              <w:pStyle w:val="BStablefigures"/>
            </w:pPr>
            <w:r w:rsidRPr="003608CE">
              <w:t xml:space="preserve">0 </w:t>
            </w:r>
          </w:p>
        </w:tc>
        <w:tc>
          <w:tcPr>
            <w:tcW w:w="903" w:type="dxa"/>
            <w:shd w:val="clear" w:color="auto" w:fill="auto"/>
          </w:tcPr>
          <w:p w14:paraId="21CCD2C5" w14:textId="77777777" w:rsidR="00C72836" w:rsidRPr="003608CE" w:rsidRDefault="00C72836" w:rsidP="009C357F">
            <w:pPr>
              <w:pStyle w:val="BStablefiguresbold"/>
            </w:pPr>
            <w:r w:rsidRPr="003608CE">
              <w:t xml:space="preserve">28,000 </w:t>
            </w:r>
          </w:p>
        </w:tc>
      </w:tr>
      <w:tr w:rsidR="00C72836" w:rsidRPr="003608CE" w14:paraId="6001AD3D" w14:textId="77777777" w:rsidTr="00BF7598">
        <w:trPr>
          <w:cantSplit/>
          <w:trHeight w:val="227"/>
          <w:jc w:val="center"/>
        </w:trPr>
        <w:tc>
          <w:tcPr>
            <w:tcW w:w="4253" w:type="dxa"/>
            <w:shd w:val="clear" w:color="auto" w:fill="auto"/>
          </w:tcPr>
          <w:p w14:paraId="302E46B5" w14:textId="7D77DBDC" w:rsidR="00C72836" w:rsidRPr="0017795E" w:rsidRDefault="00C72836" w:rsidP="009C357F">
            <w:pPr>
              <w:pStyle w:val="BStabletext"/>
            </w:pPr>
            <w:r w:rsidRPr="0017795E">
              <w:t xml:space="preserve">Rapid rollout of ‘screwdriver ready’ minor capital works projects </w:t>
            </w:r>
          </w:p>
        </w:tc>
        <w:tc>
          <w:tcPr>
            <w:tcW w:w="1208" w:type="dxa"/>
            <w:shd w:val="clear" w:color="auto" w:fill="auto"/>
          </w:tcPr>
          <w:p w14:paraId="7A5B5FB9" w14:textId="77777777" w:rsidR="00C72836" w:rsidRPr="0017795E" w:rsidRDefault="00C72836" w:rsidP="00062636">
            <w:pPr>
              <w:spacing w:after="0" w:line="23" w:lineRule="atLeast"/>
              <w:jc w:val="center"/>
              <w:rPr>
                <w:sz w:val="16"/>
                <w:szCs w:val="16"/>
              </w:rPr>
            </w:pPr>
            <w:r w:rsidRPr="0017795E">
              <w:rPr>
                <w:sz w:val="16"/>
                <w:szCs w:val="16"/>
              </w:rPr>
              <w:t>Expense</w:t>
            </w:r>
          </w:p>
        </w:tc>
        <w:tc>
          <w:tcPr>
            <w:tcW w:w="902" w:type="dxa"/>
            <w:shd w:val="clear" w:color="auto" w:fill="auto"/>
          </w:tcPr>
          <w:p w14:paraId="1E743179" w14:textId="77777777" w:rsidR="00C72836" w:rsidRPr="0017795E" w:rsidRDefault="00C72836" w:rsidP="009C357F">
            <w:pPr>
              <w:pStyle w:val="BStablefigures"/>
            </w:pPr>
            <w:r w:rsidRPr="0017795E">
              <w:t xml:space="preserve">5,000 </w:t>
            </w:r>
          </w:p>
        </w:tc>
        <w:tc>
          <w:tcPr>
            <w:tcW w:w="903" w:type="dxa"/>
            <w:shd w:val="clear" w:color="auto" w:fill="auto"/>
          </w:tcPr>
          <w:p w14:paraId="6A9AACC5" w14:textId="77777777" w:rsidR="00C72836" w:rsidRPr="0017795E" w:rsidRDefault="00C72836" w:rsidP="009C357F">
            <w:pPr>
              <w:pStyle w:val="BStablefigures"/>
            </w:pPr>
            <w:r w:rsidRPr="0017795E">
              <w:t xml:space="preserve">2,000 </w:t>
            </w:r>
          </w:p>
        </w:tc>
        <w:tc>
          <w:tcPr>
            <w:tcW w:w="902" w:type="dxa"/>
            <w:shd w:val="clear" w:color="auto" w:fill="auto"/>
          </w:tcPr>
          <w:p w14:paraId="4AE2FC26" w14:textId="77777777" w:rsidR="00C72836" w:rsidRPr="003608CE" w:rsidRDefault="00C72836" w:rsidP="009C357F">
            <w:pPr>
              <w:pStyle w:val="BStablefigures"/>
            </w:pPr>
            <w:r w:rsidRPr="003608CE">
              <w:t xml:space="preserve">0 </w:t>
            </w:r>
          </w:p>
        </w:tc>
        <w:tc>
          <w:tcPr>
            <w:tcW w:w="903" w:type="dxa"/>
            <w:shd w:val="clear" w:color="auto" w:fill="auto"/>
          </w:tcPr>
          <w:p w14:paraId="00F01DF1" w14:textId="77777777" w:rsidR="00C72836" w:rsidRPr="003608CE" w:rsidRDefault="00C72836" w:rsidP="009C357F">
            <w:pPr>
              <w:pStyle w:val="BStablefigures"/>
            </w:pPr>
            <w:r w:rsidRPr="003608CE">
              <w:t xml:space="preserve">0 </w:t>
            </w:r>
          </w:p>
        </w:tc>
        <w:tc>
          <w:tcPr>
            <w:tcW w:w="903" w:type="dxa"/>
            <w:shd w:val="clear" w:color="auto" w:fill="auto"/>
          </w:tcPr>
          <w:p w14:paraId="16B95BC1" w14:textId="77777777" w:rsidR="00C72836" w:rsidRPr="003608CE" w:rsidRDefault="00C72836" w:rsidP="009C357F">
            <w:pPr>
              <w:pStyle w:val="BStablefiguresbold"/>
            </w:pPr>
            <w:r w:rsidRPr="003608CE">
              <w:t xml:space="preserve">7,000 </w:t>
            </w:r>
          </w:p>
        </w:tc>
      </w:tr>
      <w:tr w:rsidR="00C72836" w:rsidRPr="003608CE" w14:paraId="0C15B42B" w14:textId="77777777" w:rsidTr="00BF7598">
        <w:trPr>
          <w:cantSplit/>
          <w:trHeight w:val="227"/>
          <w:jc w:val="center"/>
        </w:trPr>
        <w:tc>
          <w:tcPr>
            <w:tcW w:w="4253" w:type="dxa"/>
            <w:shd w:val="clear" w:color="auto" w:fill="auto"/>
          </w:tcPr>
          <w:p w14:paraId="3B5FF65B" w14:textId="77777777" w:rsidR="00C72836" w:rsidRPr="003608CE" w:rsidRDefault="00C72836" w:rsidP="009C357F">
            <w:pPr>
              <w:pStyle w:val="BStabletext"/>
            </w:pPr>
            <w:r w:rsidRPr="003608CE">
              <w:t>Rollover of contracts for any casual or contracted ACTPS staff</w:t>
            </w:r>
          </w:p>
        </w:tc>
        <w:tc>
          <w:tcPr>
            <w:tcW w:w="1208" w:type="dxa"/>
            <w:shd w:val="clear" w:color="auto" w:fill="auto"/>
          </w:tcPr>
          <w:p w14:paraId="6B7AE682"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64EA072E" w14:textId="77777777" w:rsidR="00C72836" w:rsidRPr="003608CE" w:rsidRDefault="00C72836" w:rsidP="009C357F">
            <w:pPr>
              <w:pStyle w:val="BStablefigures"/>
            </w:pPr>
            <w:r w:rsidRPr="003608CE">
              <w:t>~</w:t>
            </w:r>
          </w:p>
        </w:tc>
        <w:tc>
          <w:tcPr>
            <w:tcW w:w="903" w:type="dxa"/>
            <w:shd w:val="clear" w:color="auto" w:fill="auto"/>
          </w:tcPr>
          <w:p w14:paraId="01225697" w14:textId="77777777" w:rsidR="00C72836" w:rsidRPr="003608CE" w:rsidRDefault="00C72836" w:rsidP="009C357F">
            <w:pPr>
              <w:pStyle w:val="BStablefigures"/>
            </w:pPr>
            <w:r w:rsidRPr="003608CE">
              <w:t>~</w:t>
            </w:r>
          </w:p>
        </w:tc>
        <w:tc>
          <w:tcPr>
            <w:tcW w:w="902" w:type="dxa"/>
            <w:shd w:val="clear" w:color="auto" w:fill="auto"/>
          </w:tcPr>
          <w:p w14:paraId="1D60A165" w14:textId="77777777" w:rsidR="00C72836" w:rsidRPr="003608CE" w:rsidRDefault="00C72836" w:rsidP="009C357F">
            <w:pPr>
              <w:pStyle w:val="BStablefigures"/>
            </w:pPr>
            <w:r w:rsidRPr="003608CE">
              <w:t xml:space="preserve">0 </w:t>
            </w:r>
          </w:p>
        </w:tc>
        <w:tc>
          <w:tcPr>
            <w:tcW w:w="903" w:type="dxa"/>
            <w:shd w:val="clear" w:color="auto" w:fill="auto"/>
          </w:tcPr>
          <w:p w14:paraId="1F1C5E8F" w14:textId="77777777" w:rsidR="00C72836" w:rsidRPr="003608CE" w:rsidRDefault="00C72836" w:rsidP="009C357F">
            <w:pPr>
              <w:pStyle w:val="BStablefigures"/>
            </w:pPr>
            <w:r w:rsidRPr="003608CE">
              <w:t xml:space="preserve">0 </w:t>
            </w:r>
          </w:p>
        </w:tc>
        <w:tc>
          <w:tcPr>
            <w:tcW w:w="903" w:type="dxa"/>
            <w:shd w:val="clear" w:color="auto" w:fill="auto"/>
          </w:tcPr>
          <w:p w14:paraId="1E646224" w14:textId="77777777" w:rsidR="00C72836" w:rsidRPr="003608CE" w:rsidRDefault="00C72836" w:rsidP="009C357F">
            <w:pPr>
              <w:pStyle w:val="BStablefiguresbold"/>
            </w:pPr>
            <w:r w:rsidRPr="003608CE">
              <w:t>~</w:t>
            </w:r>
          </w:p>
        </w:tc>
      </w:tr>
      <w:tr w:rsidR="00C72836" w:rsidRPr="003608CE" w14:paraId="4BB64DD6" w14:textId="77777777" w:rsidTr="00BF7598">
        <w:trPr>
          <w:cantSplit/>
          <w:trHeight w:val="227"/>
          <w:jc w:val="center"/>
        </w:trPr>
        <w:tc>
          <w:tcPr>
            <w:tcW w:w="4253" w:type="dxa"/>
            <w:shd w:val="clear" w:color="auto" w:fill="auto"/>
          </w:tcPr>
          <w:p w14:paraId="37AD907A" w14:textId="77777777" w:rsidR="00C72836" w:rsidRPr="003608CE" w:rsidRDefault="00C72836" w:rsidP="009C357F">
            <w:pPr>
              <w:pStyle w:val="BStabletext"/>
            </w:pPr>
            <w:r w:rsidRPr="003608CE">
              <w:t>Urban forest and other public realm maintenance functions</w:t>
            </w:r>
          </w:p>
        </w:tc>
        <w:tc>
          <w:tcPr>
            <w:tcW w:w="1208" w:type="dxa"/>
            <w:shd w:val="clear" w:color="auto" w:fill="auto"/>
          </w:tcPr>
          <w:p w14:paraId="188C7905"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600B64C5" w14:textId="77777777" w:rsidR="00C72836" w:rsidRPr="003608CE" w:rsidRDefault="00C72836" w:rsidP="009C357F">
            <w:pPr>
              <w:pStyle w:val="BStablefigures"/>
            </w:pPr>
            <w:r w:rsidRPr="003608CE">
              <w:t xml:space="preserve">1,000 </w:t>
            </w:r>
          </w:p>
        </w:tc>
        <w:tc>
          <w:tcPr>
            <w:tcW w:w="903" w:type="dxa"/>
            <w:shd w:val="clear" w:color="auto" w:fill="auto"/>
          </w:tcPr>
          <w:p w14:paraId="3025BCFF" w14:textId="77777777" w:rsidR="00C72836" w:rsidRPr="003608CE" w:rsidRDefault="00C72836" w:rsidP="009C357F">
            <w:pPr>
              <w:pStyle w:val="BStablefigures"/>
            </w:pPr>
            <w:r w:rsidRPr="003608CE">
              <w:t xml:space="preserve">2,000 </w:t>
            </w:r>
          </w:p>
        </w:tc>
        <w:tc>
          <w:tcPr>
            <w:tcW w:w="902" w:type="dxa"/>
            <w:shd w:val="clear" w:color="auto" w:fill="auto"/>
          </w:tcPr>
          <w:p w14:paraId="32D05DE7" w14:textId="77777777" w:rsidR="00C72836" w:rsidRPr="003608CE" w:rsidRDefault="00C72836" w:rsidP="009C357F">
            <w:pPr>
              <w:pStyle w:val="BStablefigures"/>
            </w:pPr>
            <w:r w:rsidRPr="003608CE">
              <w:t xml:space="preserve">0 </w:t>
            </w:r>
          </w:p>
        </w:tc>
        <w:tc>
          <w:tcPr>
            <w:tcW w:w="903" w:type="dxa"/>
            <w:shd w:val="clear" w:color="auto" w:fill="auto"/>
          </w:tcPr>
          <w:p w14:paraId="7EAF2388" w14:textId="77777777" w:rsidR="00C72836" w:rsidRPr="003608CE" w:rsidRDefault="00C72836" w:rsidP="009C357F">
            <w:pPr>
              <w:pStyle w:val="BStablefigures"/>
            </w:pPr>
            <w:r w:rsidRPr="003608CE">
              <w:t xml:space="preserve">0 </w:t>
            </w:r>
          </w:p>
        </w:tc>
        <w:tc>
          <w:tcPr>
            <w:tcW w:w="903" w:type="dxa"/>
            <w:shd w:val="clear" w:color="auto" w:fill="auto"/>
          </w:tcPr>
          <w:p w14:paraId="1FF31696" w14:textId="77777777" w:rsidR="00C72836" w:rsidRPr="003608CE" w:rsidRDefault="00C72836" w:rsidP="009C357F">
            <w:pPr>
              <w:pStyle w:val="BStablefiguresbold"/>
            </w:pPr>
            <w:r w:rsidRPr="003608CE">
              <w:t xml:space="preserve">3,000 </w:t>
            </w:r>
          </w:p>
        </w:tc>
      </w:tr>
      <w:tr w:rsidR="00C72836" w:rsidRPr="002D2CAB" w14:paraId="4ADFD139" w14:textId="77777777" w:rsidTr="00BF7598">
        <w:trPr>
          <w:cantSplit/>
          <w:trHeight w:val="227"/>
          <w:jc w:val="center"/>
        </w:trPr>
        <w:tc>
          <w:tcPr>
            <w:tcW w:w="4253" w:type="dxa"/>
            <w:shd w:val="clear" w:color="auto" w:fill="auto"/>
          </w:tcPr>
          <w:p w14:paraId="24307D8D" w14:textId="77777777" w:rsidR="00C72836" w:rsidRPr="00F96CDC" w:rsidRDefault="00C72836" w:rsidP="009C357F">
            <w:pPr>
              <w:pStyle w:val="BStabletext"/>
              <w:rPr>
                <w:vertAlign w:val="superscript"/>
              </w:rPr>
            </w:pPr>
          </w:p>
        </w:tc>
        <w:tc>
          <w:tcPr>
            <w:tcW w:w="1208" w:type="dxa"/>
          </w:tcPr>
          <w:p w14:paraId="734D4989" w14:textId="77777777" w:rsidR="00C72836" w:rsidRPr="0052231E" w:rsidRDefault="00C72836" w:rsidP="00062636">
            <w:pPr>
              <w:spacing w:after="0" w:line="23" w:lineRule="atLeast"/>
              <w:jc w:val="center"/>
              <w:rPr>
                <w:sz w:val="16"/>
                <w:szCs w:val="16"/>
              </w:rPr>
            </w:pPr>
          </w:p>
        </w:tc>
        <w:tc>
          <w:tcPr>
            <w:tcW w:w="902" w:type="dxa"/>
            <w:shd w:val="clear" w:color="auto" w:fill="auto"/>
          </w:tcPr>
          <w:p w14:paraId="770AF943" w14:textId="77777777" w:rsidR="00C72836" w:rsidRPr="00F96CDC" w:rsidRDefault="00C72836" w:rsidP="009C357F">
            <w:pPr>
              <w:pStyle w:val="BStablefigures"/>
            </w:pPr>
          </w:p>
        </w:tc>
        <w:tc>
          <w:tcPr>
            <w:tcW w:w="903" w:type="dxa"/>
            <w:shd w:val="clear" w:color="auto" w:fill="auto"/>
          </w:tcPr>
          <w:p w14:paraId="7B098023" w14:textId="77777777" w:rsidR="00C72836" w:rsidRPr="00F96CDC" w:rsidRDefault="00C72836" w:rsidP="009C357F">
            <w:pPr>
              <w:pStyle w:val="BStablefigures"/>
            </w:pPr>
          </w:p>
        </w:tc>
        <w:tc>
          <w:tcPr>
            <w:tcW w:w="902" w:type="dxa"/>
            <w:shd w:val="clear" w:color="auto" w:fill="auto"/>
          </w:tcPr>
          <w:p w14:paraId="3685C836" w14:textId="77777777" w:rsidR="00C72836" w:rsidRPr="00F96CDC" w:rsidRDefault="00C72836" w:rsidP="009C357F">
            <w:pPr>
              <w:pStyle w:val="BStablefigures"/>
            </w:pPr>
          </w:p>
        </w:tc>
        <w:tc>
          <w:tcPr>
            <w:tcW w:w="903" w:type="dxa"/>
            <w:shd w:val="clear" w:color="auto" w:fill="auto"/>
          </w:tcPr>
          <w:p w14:paraId="455E7F15" w14:textId="77777777" w:rsidR="00C72836" w:rsidRPr="00F96CDC" w:rsidRDefault="00C72836" w:rsidP="009C357F">
            <w:pPr>
              <w:pStyle w:val="BStablefigures"/>
            </w:pPr>
          </w:p>
        </w:tc>
        <w:tc>
          <w:tcPr>
            <w:tcW w:w="903" w:type="dxa"/>
            <w:shd w:val="clear" w:color="auto" w:fill="auto"/>
          </w:tcPr>
          <w:p w14:paraId="553E1CB3" w14:textId="77777777" w:rsidR="00C72836" w:rsidRPr="002D2CAB" w:rsidRDefault="00C72836" w:rsidP="009C357F">
            <w:pPr>
              <w:pStyle w:val="BStablefiguresbold"/>
            </w:pPr>
          </w:p>
        </w:tc>
      </w:tr>
      <w:tr w:rsidR="00C72836" w:rsidRPr="00D2153B" w14:paraId="75FAC888" w14:textId="77777777" w:rsidTr="00BF7598">
        <w:trPr>
          <w:cantSplit/>
          <w:trHeight w:val="227"/>
          <w:jc w:val="center"/>
        </w:trPr>
        <w:tc>
          <w:tcPr>
            <w:tcW w:w="4253" w:type="dxa"/>
            <w:shd w:val="clear" w:color="auto" w:fill="auto"/>
          </w:tcPr>
          <w:p w14:paraId="076A5B84" w14:textId="3A965839" w:rsidR="00C72836" w:rsidRPr="00D2153B" w:rsidRDefault="00C72836" w:rsidP="009C357F">
            <w:pPr>
              <w:pStyle w:val="BStabletextbold"/>
            </w:pPr>
            <w:r w:rsidRPr="00D2153B">
              <w:t xml:space="preserve">Supporting the Community </w:t>
            </w:r>
          </w:p>
        </w:tc>
        <w:tc>
          <w:tcPr>
            <w:tcW w:w="1208" w:type="dxa"/>
            <w:shd w:val="clear" w:color="auto" w:fill="auto"/>
          </w:tcPr>
          <w:p w14:paraId="16458855" w14:textId="77777777" w:rsidR="00C72836" w:rsidRPr="0052231E" w:rsidRDefault="00C72836" w:rsidP="00062636">
            <w:pPr>
              <w:spacing w:after="0" w:line="23" w:lineRule="atLeast"/>
              <w:jc w:val="center"/>
              <w:rPr>
                <w:sz w:val="16"/>
                <w:szCs w:val="16"/>
              </w:rPr>
            </w:pPr>
          </w:p>
        </w:tc>
        <w:tc>
          <w:tcPr>
            <w:tcW w:w="902" w:type="dxa"/>
            <w:shd w:val="clear" w:color="auto" w:fill="auto"/>
          </w:tcPr>
          <w:p w14:paraId="048BF342" w14:textId="77777777" w:rsidR="00C72836" w:rsidRPr="00D2153B" w:rsidRDefault="00C72836" w:rsidP="009C357F">
            <w:pPr>
              <w:pStyle w:val="BStablefigures"/>
            </w:pPr>
          </w:p>
        </w:tc>
        <w:tc>
          <w:tcPr>
            <w:tcW w:w="903" w:type="dxa"/>
            <w:shd w:val="clear" w:color="auto" w:fill="auto"/>
          </w:tcPr>
          <w:p w14:paraId="07FFDE4E" w14:textId="77777777" w:rsidR="00C72836" w:rsidRPr="00D2153B" w:rsidRDefault="00C72836" w:rsidP="009C357F">
            <w:pPr>
              <w:pStyle w:val="BStablefigures"/>
            </w:pPr>
          </w:p>
        </w:tc>
        <w:tc>
          <w:tcPr>
            <w:tcW w:w="902" w:type="dxa"/>
            <w:shd w:val="clear" w:color="auto" w:fill="auto"/>
          </w:tcPr>
          <w:p w14:paraId="7E001A11" w14:textId="77777777" w:rsidR="00C72836" w:rsidRPr="00D2153B" w:rsidRDefault="00C72836" w:rsidP="009C357F">
            <w:pPr>
              <w:pStyle w:val="BStablefigures"/>
            </w:pPr>
          </w:p>
        </w:tc>
        <w:tc>
          <w:tcPr>
            <w:tcW w:w="903" w:type="dxa"/>
            <w:shd w:val="clear" w:color="auto" w:fill="auto"/>
          </w:tcPr>
          <w:p w14:paraId="64F5062B" w14:textId="77777777" w:rsidR="00C72836" w:rsidRPr="00D2153B" w:rsidRDefault="00C72836" w:rsidP="009C357F">
            <w:pPr>
              <w:pStyle w:val="BStablefigures"/>
            </w:pPr>
          </w:p>
        </w:tc>
        <w:tc>
          <w:tcPr>
            <w:tcW w:w="903" w:type="dxa"/>
            <w:shd w:val="clear" w:color="auto" w:fill="auto"/>
          </w:tcPr>
          <w:p w14:paraId="26FA9389" w14:textId="77777777" w:rsidR="00C72836" w:rsidRPr="00D2153B" w:rsidRDefault="00C72836" w:rsidP="009C357F">
            <w:pPr>
              <w:pStyle w:val="BStablefiguresbold"/>
            </w:pPr>
          </w:p>
        </w:tc>
      </w:tr>
      <w:tr w:rsidR="00C72836" w:rsidRPr="00D2153B" w14:paraId="3EFD48C3" w14:textId="77777777" w:rsidTr="00BF7598">
        <w:trPr>
          <w:cantSplit/>
          <w:trHeight w:val="227"/>
          <w:jc w:val="center"/>
        </w:trPr>
        <w:tc>
          <w:tcPr>
            <w:tcW w:w="4253" w:type="dxa"/>
            <w:shd w:val="clear" w:color="auto" w:fill="auto"/>
          </w:tcPr>
          <w:p w14:paraId="30EBFA79" w14:textId="77777777" w:rsidR="00C72836" w:rsidRPr="00D2153B" w:rsidRDefault="00C72836" w:rsidP="009C357F">
            <w:pPr>
              <w:pStyle w:val="BStabletext"/>
            </w:pPr>
            <w:r w:rsidRPr="00D2153B">
              <w:t xml:space="preserve">Community Support </w:t>
            </w:r>
            <w:r>
              <w:t>P</w:t>
            </w:r>
            <w:r w:rsidRPr="00D2153B">
              <w:t>ackage</w:t>
            </w:r>
          </w:p>
        </w:tc>
        <w:tc>
          <w:tcPr>
            <w:tcW w:w="1208" w:type="dxa"/>
            <w:shd w:val="clear" w:color="auto" w:fill="auto"/>
          </w:tcPr>
          <w:p w14:paraId="67F4D18A"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6179651" w14:textId="77777777" w:rsidR="00C72836" w:rsidRPr="00D2153B" w:rsidRDefault="00C72836" w:rsidP="009C357F">
            <w:pPr>
              <w:pStyle w:val="BStablefigures"/>
            </w:pPr>
            <w:r w:rsidRPr="00D2153B">
              <w:t xml:space="preserve">5,447 </w:t>
            </w:r>
          </w:p>
        </w:tc>
        <w:tc>
          <w:tcPr>
            <w:tcW w:w="903" w:type="dxa"/>
            <w:shd w:val="clear" w:color="auto" w:fill="auto"/>
          </w:tcPr>
          <w:p w14:paraId="41EE6C94" w14:textId="77777777" w:rsidR="00C72836" w:rsidRPr="00D2153B" w:rsidRDefault="00C72836" w:rsidP="009C357F">
            <w:pPr>
              <w:pStyle w:val="BStablefigures"/>
            </w:pPr>
            <w:r w:rsidRPr="00D2153B">
              <w:t xml:space="preserve">3,553 </w:t>
            </w:r>
          </w:p>
        </w:tc>
        <w:tc>
          <w:tcPr>
            <w:tcW w:w="902" w:type="dxa"/>
            <w:shd w:val="clear" w:color="auto" w:fill="auto"/>
          </w:tcPr>
          <w:p w14:paraId="72C84AB8" w14:textId="77777777" w:rsidR="00C72836" w:rsidRPr="00D2153B" w:rsidRDefault="00C72836" w:rsidP="009C357F">
            <w:pPr>
              <w:pStyle w:val="BStablefigures"/>
            </w:pPr>
            <w:r w:rsidRPr="00D2153B">
              <w:t xml:space="preserve">0 </w:t>
            </w:r>
          </w:p>
        </w:tc>
        <w:tc>
          <w:tcPr>
            <w:tcW w:w="903" w:type="dxa"/>
            <w:shd w:val="clear" w:color="auto" w:fill="auto"/>
          </w:tcPr>
          <w:p w14:paraId="08E776B3" w14:textId="77777777" w:rsidR="00C72836" w:rsidRPr="00D2153B" w:rsidRDefault="00C72836" w:rsidP="009C357F">
            <w:pPr>
              <w:pStyle w:val="BStablefigures"/>
            </w:pPr>
            <w:r w:rsidRPr="00D2153B">
              <w:t xml:space="preserve">0 </w:t>
            </w:r>
          </w:p>
        </w:tc>
        <w:tc>
          <w:tcPr>
            <w:tcW w:w="903" w:type="dxa"/>
            <w:shd w:val="clear" w:color="auto" w:fill="auto"/>
          </w:tcPr>
          <w:p w14:paraId="32C15C43" w14:textId="77777777" w:rsidR="00C72836" w:rsidRPr="00D2153B" w:rsidRDefault="00C72836" w:rsidP="009C357F">
            <w:pPr>
              <w:pStyle w:val="BStablefiguresbold"/>
            </w:pPr>
            <w:r w:rsidRPr="00D2153B">
              <w:t xml:space="preserve">9,000 </w:t>
            </w:r>
          </w:p>
        </w:tc>
      </w:tr>
      <w:tr w:rsidR="00C72836" w:rsidRPr="00D2153B" w14:paraId="4D12235E" w14:textId="77777777" w:rsidTr="00BF7598">
        <w:trPr>
          <w:cantSplit/>
          <w:trHeight w:val="227"/>
          <w:jc w:val="center"/>
        </w:trPr>
        <w:tc>
          <w:tcPr>
            <w:tcW w:w="4253" w:type="dxa"/>
            <w:shd w:val="clear" w:color="auto" w:fill="auto"/>
          </w:tcPr>
          <w:p w14:paraId="15DD3330" w14:textId="77777777" w:rsidR="00C72836" w:rsidRPr="00D2153B" w:rsidRDefault="00C72836" w:rsidP="009C357F">
            <w:pPr>
              <w:pStyle w:val="BStabletext"/>
            </w:pPr>
            <w:r w:rsidRPr="00D2153B">
              <w:t>Education Digital Delivery</w:t>
            </w:r>
          </w:p>
        </w:tc>
        <w:tc>
          <w:tcPr>
            <w:tcW w:w="1208" w:type="dxa"/>
            <w:shd w:val="clear" w:color="auto" w:fill="auto"/>
          </w:tcPr>
          <w:p w14:paraId="620183D0"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6F2AB86C" w14:textId="77777777" w:rsidR="00C72836" w:rsidRPr="00D2153B" w:rsidRDefault="00C72836" w:rsidP="009C357F">
            <w:pPr>
              <w:pStyle w:val="BStablefigures"/>
            </w:pPr>
            <w:r w:rsidRPr="00D2153B">
              <w:t xml:space="preserve">500 </w:t>
            </w:r>
          </w:p>
        </w:tc>
        <w:tc>
          <w:tcPr>
            <w:tcW w:w="903" w:type="dxa"/>
            <w:shd w:val="clear" w:color="auto" w:fill="auto"/>
          </w:tcPr>
          <w:p w14:paraId="54F1FCB9" w14:textId="77777777" w:rsidR="00C72836" w:rsidRPr="00D2153B" w:rsidRDefault="00C72836" w:rsidP="009C357F">
            <w:pPr>
              <w:pStyle w:val="BStablefigures"/>
            </w:pPr>
            <w:r w:rsidRPr="00D2153B">
              <w:t xml:space="preserve">0 </w:t>
            </w:r>
          </w:p>
        </w:tc>
        <w:tc>
          <w:tcPr>
            <w:tcW w:w="902" w:type="dxa"/>
            <w:shd w:val="clear" w:color="auto" w:fill="auto"/>
          </w:tcPr>
          <w:p w14:paraId="627917DA" w14:textId="77777777" w:rsidR="00C72836" w:rsidRPr="00D2153B" w:rsidRDefault="00C72836" w:rsidP="009C357F">
            <w:pPr>
              <w:pStyle w:val="BStablefigures"/>
            </w:pPr>
            <w:r w:rsidRPr="00D2153B">
              <w:t xml:space="preserve">0 </w:t>
            </w:r>
          </w:p>
        </w:tc>
        <w:tc>
          <w:tcPr>
            <w:tcW w:w="903" w:type="dxa"/>
            <w:shd w:val="clear" w:color="auto" w:fill="auto"/>
          </w:tcPr>
          <w:p w14:paraId="5A94ED72" w14:textId="77777777" w:rsidR="00C72836" w:rsidRPr="00D2153B" w:rsidRDefault="00C72836" w:rsidP="009C357F">
            <w:pPr>
              <w:pStyle w:val="BStablefigures"/>
            </w:pPr>
            <w:r w:rsidRPr="00D2153B">
              <w:t xml:space="preserve">0 </w:t>
            </w:r>
          </w:p>
        </w:tc>
        <w:tc>
          <w:tcPr>
            <w:tcW w:w="903" w:type="dxa"/>
            <w:shd w:val="clear" w:color="auto" w:fill="auto"/>
          </w:tcPr>
          <w:p w14:paraId="1E6613CB" w14:textId="77777777" w:rsidR="00C72836" w:rsidRPr="00D2153B" w:rsidRDefault="00C72836" w:rsidP="009C357F">
            <w:pPr>
              <w:pStyle w:val="BStablefiguresbold"/>
            </w:pPr>
            <w:r w:rsidRPr="00D2153B">
              <w:t xml:space="preserve">500 </w:t>
            </w:r>
          </w:p>
        </w:tc>
      </w:tr>
      <w:tr w:rsidR="00C72836" w:rsidRPr="00D2153B" w14:paraId="383BCD26" w14:textId="77777777" w:rsidTr="00BF7598">
        <w:trPr>
          <w:cantSplit/>
          <w:trHeight w:val="227"/>
          <w:jc w:val="center"/>
        </w:trPr>
        <w:tc>
          <w:tcPr>
            <w:tcW w:w="4253" w:type="dxa"/>
            <w:shd w:val="clear" w:color="auto" w:fill="auto"/>
          </w:tcPr>
          <w:p w14:paraId="4BE3B812" w14:textId="77777777" w:rsidR="00C72836" w:rsidRPr="00D2153B" w:rsidRDefault="00C72836" w:rsidP="009C357F">
            <w:pPr>
              <w:pStyle w:val="BStabletext"/>
            </w:pPr>
            <w:r w:rsidRPr="00D2153B">
              <w:t xml:space="preserve">Financial support for the Cultural Facilities Corporation </w:t>
            </w:r>
          </w:p>
        </w:tc>
        <w:tc>
          <w:tcPr>
            <w:tcW w:w="1208" w:type="dxa"/>
            <w:shd w:val="clear" w:color="auto" w:fill="auto"/>
          </w:tcPr>
          <w:p w14:paraId="7A196C18"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C54C197" w14:textId="77777777" w:rsidR="00C72836" w:rsidRPr="00D2153B" w:rsidRDefault="00C72836" w:rsidP="009C357F">
            <w:pPr>
              <w:pStyle w:val="BStablefigures"/>
            </w:pPr>
            <w:r w:rsidRPr="00D2153B">
              <w:t xml:space="preserve">0 </w:t>
            </w:r>
          </w:p>
        </w:tc>
        <w:tc>
          <w:tcPr>
            <w:tcW w:w="903" w:type="dxa"/>
            <w:shd w:val="clear" w:color="auto" w:fill="auto"/>
          </w:tcPr>
          <w:p w14:paraId="1A9394DA" w14:textId="77777777" w:rsidR="00C72836" w:rsidRPr="00D2153B" w:rsidRDefault="00C72836" w:rsidP="009C357F">
            <w:pPr>
              <w:pStyle w:val="BStablefigures"/>
            </w:pPr>
            <w:r w:rsidRPr="00D2153B">
              <w:t xml:space="preserve">2,500 </w:t>
            </w:r>
          </w:p>
        </w:tc>
        <w:tc>
          <w:tcPr>
            <w:tcW w:w="902" w:type="dxa"/>
            <w:shd w:val="clear" w:color="auto" w:fill="auto"/>
          </w:tcPr>
          <w:p w14:paraId="2AC21E40" w14:textId="77777777" w:rsidR="00C72836" w:rsidRPr="00D2153B" w:rsidRDefault="00C72836" w:rsidP="009C357F">
            <w:pPr>
              <w:pStyle w:val="BStablefigures"/>
            </w:pPr>
            <w:r w:rsidRPr="00D2153B">
              <w:t xml:space="preserve">0 </w:t>
            </w:r>
          </w:p>
        </w:tc>
        <w:tc>
          <w:tcPr>
            <w:tcW w:w="903" w:type="dxa"/>
            <w:shd w:val="clear" w:color="auto" w:fill="auto"/>
          </w:tcPr>
          <w:p w14:paraId="740F59C9" w14:textId="77777777" w:rsidR="00C72836" w:rsidRPr="00D2153B" w:rsidRDefault="00C72836" w:rsidP="009C357F">
            <w:pPr>
              <w:pStyle w:val="BStablefigures"/>
            </w:pPr>
            <w:r w:rsidRPr="00D2153B">
              <w:t xml:space="preserve">0 </w:t>
            </w:r>
          </w:p>
        </w:tc>
        <w:tc>
          <w:tcPr>
            <w:tcW w:w="903" w:type="dxa"/>
            <w:shd w:val="clear" w:color="auto" w:fill="auto"/>
          </w:tcPr>
          <w:p w14:paraId="0BF45A60" w14:textId="77777777" w:rsidR="00C72836" w:rsidRPr="00D2153B" w:rsidRDefault="00C72836" w:rsidP="009C357F">
            <w:pPr>
              <w:pStyle w:val="BStablefiguresbold"/>
            </w:pPr>
            <w:r w:rsidRPr="00D2153B">
              <w:t xml:space="preserve">2,500 </w:t>
            </w:r>
          </w:p>
        </w:tc>
      </w:tr>
      <w:tr w:rsidR="00C72836" w:rsidRPr="00D2153B" w14:paraId="613607F5" w14:textId="77777777" w:rsidTr="00BF7598">
        <w:trPr>
          <w:cantSplit/>
          <w:trHeight w:val="227"/>
          <w:jc w:val="center"/>
        </w:trPr>
        <w:tc>
          <w:tcPr>
            <w:tcW w:w="4253" w:type="dxa"/>
            <w:shd w:val="clear" w:color="auto" w:fill="auto"/>
          </w:tcPr>
          <w:p w14:paraId="6939EE17" w14:textId="77777777" w:rsidR="00C72836" w:rsidRPr="00D2153B" w:rsidRDefault="00C72836" w:rsidP="009C357F">
            <w:pPr>
              <w:pStyle w:val="BStabletext"/>
            </w:pPr>
            <w:r w:rsidRPr="00D2153B">
              <w:t>Increased Magistrates Court resourcing</w:t>
            </w:r>
          </w:p>
        </w:tc>
        <w:tc>
          <w:tcPr>
            <w:tcW w:w="1208" w:type="dxa"/>
            <w:shd w:val="clear" w:color="auto" w:fill="auto"/>
          </w:tcPr>
          <w:p w14:paraId="6E6FC68A"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51208256" w14:textId="77777777" w:rsidR="00C72836" w:rsidRPr="00D2153B" w:rsidRDefault="00C72836" w:rsidP="009C357F">
            <w:pPr>
              <w:pStyle w:val="BStablefigures"/>
            </w:pPr>
            <w:r w:rsidRPr="00D2153B">
              <w:t xml:space="preserve">0 </w:t>
            </w:r>
          </w:p>
        </w:tc>
        <w:tc>
          <w:tcPr>
            <w:tcW w:w="903" w:type="dxa"/>
            <w:shd w:val="clear" w:color="auto" w:fill="auto"/>
          </w:tcPr>
          <w:p w14:paraId="6734EDCA" w14:textId="77777777" w:rsidR="00C72836" w:rsidRPr="00D2153B" w:rsidRDefault="00C72836" w:rsidP="009C357F">
            <w:pPr>
              <w:pStyle w:val="BStablefigures"/>
            </w:pPr>
            <w:r w:rsidRPr="00D2153B">
              <w:t xml:space="preserve">310 </w:t>
            </w:r>
          </w:p>
        </w:tc>
        <w:tc>
          <w:tcPr>
            <w:tcW w:w="902" w:type="dxa"/>
            <w:shd w:val="clear" w:color="auto" w:fill="auto"/>
          </w:tcPr>
          <w:p w14:paraId="74934256" w14:textId="77777777" w:rsidR="00C72836" w:rsidRPr="00D2153B" w:rsidRDefault="00C72836" w:rsidP="009C357F">
            <w:pPr>
              <w:pStyle w:val="BStablefigures"/>
            </w:pPr>
            <w:r w:rsidRPr="00D2153B">
              <w:t xml:space="preserve">0 </w:t>
            </w:r>
          </w:p>
        </w:tc>
        <w:tc>
          <w:tcPr>
            <w:tcW w:w="903" w:type="dxa"/>
            <w:shd w:val="clear" w:color="auto" w:fill="auto"/>
          </w:tcPr>
          <w:p w14:paraId="5064C2EB" w14:textId="77777777" w:rsidR="00C72836" w:rsidRPr="00D2153B" w:rsidRDefault="00C72836" w:rsidP="009C357F">
            <w:pPr>
              <w:pStyle w:val="BStablefigures"/>
            </w:pPr>
            <w:r w:rsidRPr="00D2153B">
              <w:t xml:space="preserve">0 </w:t>
            </w:r>
          </w:p>
        </w:tc>
        <w:tc>
          <w:tcPr>
            <w:tcW w:w="903" w:type="dxa"/>
            <w:shd w:val="clear" w:color="auto" w:fill="auto"/>
          </w:tcPr>
          <w:p w14:paraId="44969DF1" w14:textId="77777777" w:rsidR="00C72836" w:rsidRPr="00D2153B" w:rsidRDefault="00C72836" w:rsidP="009C357F">
            <w:pPr>
              <w:pStyle w:val="BStablefiguresbold"/>
            </w:pPr>
            <w:r w:rsidRPr="00D2153B">
              <w:t xml:space="preserve">310 </w:t>
            </w:r>
          </w:p>
        </w:tc>
      </w:tr>
      <w:tr w:rsidR="00C72836" w:rsidRPr="00D2153B" w14:paraId="7BD2FC99" w14:textId="77777777" w:rsidTr="00BF7598">
        <w:trPr>
          <w:cantSplit/>
          <w:trHeight w:val="227"/>
          <w:jc w:val="center"/>
        </w:trPr>
        <w:tc>
          <w:tcPr>
            <w:tcW w:w="4253" w:type="dxa"/>
            <w:shd w:val="clear" w:color="auto" w:fill="auto"/>
          </w:tcPr>
          <w:p w14:paraId="70DC20EF" w14:textId="77777777" w:rsidR="00C72836" w:rsidRPr="00D2153B" w:rsidRDefault="00C72836" w:rsidP="009C357F">
            <w:pPr>
              <w:pStyle w:val="BStabletext"/>
            </w:pPr>
            <w:r w:rsidRPr="00D2153B">
              <w:t xml:space="preserve">Increased </w:t>
            </w:r>
            <w:r>
              <w:t>support</w:t>
            </w:r>
            <w:r w:rsidRPr="00D2153B">
              <w:t xml:space="preserve"> for our arts community</w:t>
            </w:r>
          </w:p>
        </w:tc>
        <w:tc>
          <w:tcPr>
            <w:tcW w:w="1208" w:type="dxa"/>
            <w:shd w:val="clear" w:color="auto" w:fill="auto"/>
          </w:tcPr>
          <w:p w14:paraId="47E87659"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3C11022F" w14:textId="77777777" w:rsidR="00C72836" w:rsidRPr="00D2153B" w:rsidRDefault="00C72836" w:rsidP="009C357F">
            <w:pPr>
              <w:pStyle w:val="BStablefigures"/>
            </w:pPr>
            <w:r w:rsidRPr="00D2153B">
              <w:t xml:space="preserve">1,500 </w:t>
            </w:r>
          </w:p>
        </w:tc>
        <w:tc>
          <w:tcPr>
            <w:tcW w:w="903" w:type="dxa"/>
            <w:shd w:val="clear" w:color="auto" w:fill="auto"/>
          </w:tcPr>
          <w:p w14:paraId="738D9458" w14:textId="77777777" w:rsidR="00C72836" w:rsidRPr="00D2153B" w:rsidRDefault="00C72836" w:rsidP="009C357F">
            <w:pPr>
              <w:pStyle w:val="BStablefigures"/>
            </w:pPr>
            <w:r w:rsidRPr="00D2153B">
              <w:t xml:space="preserve">0 </w:t>
            </w:r>
          </w:p>
        </w:tc>
        <w:tc>
          <w:tcPr>
            <w:tcW w:w="902" w:type="dxa"/>
            <w:shd w:val="clear" w:color="auto" w:fill="auto"/>
          </w:tcPr>
          <w:p w14:paraId="1980FAEB" w14:textId="77777777" w:rsidR="00C72836" w:rsidRPr="00D2153B" w:rsidRDefault="00C72836" w:rsidP="009C357F">
            <w:pPr>
              <w:pStyle w:val="BStablefigures"/>
            </w:pPr>
            <w:r w:rsidRPr="00D2153B">
              <w:t xml:space="preserve">0 </w:t>
            </w:r>
          </w:p>
        </w:tc>
        <w:tc>
          <w:tcPr>
            <w:tcW w:w="903" w:type="dxa"/>
            <w:shd w:val="clear" w:color="auto" w:fill="auto"/>
          </w:tcPr>
          <w:p w14:paraId="0426C219" w14:textId="77777777" w:rsidR="00C72836" w:rsidRPr="00D2153B" w:rsidRDefault="00C72836" w:rsidP="009C357F">
            <w:pPr>
              <w:pStyle w:val="BStablefigures"/>
            </w:pPr>
            <w:r w:rsidRPr="00D2153B">
              <w:t xml:space="preserve">0 </w:t>
            </w:r>
          </w:p>
        </w:tc>
        <w:tc>
          <w:tcPr>
            <w:tcW w:w="903" w:type="dxa"/>
            <w:shd w:val="clear" w:color="auto" w:fill="auto"/>
          </w:tcPr>
          <w:p w14:paraId="5DF0D973" w14:textId="77777777" w:rsidR="00C72836" w:rsidRPr="00D2153B" w:rsidRDefault="00C72836" w:rsidP="009C357F">
            <w:pPr>
              <w:pStyle w:val="BStablefiguresbold"/>
            </w:pPr>
            <w:r w:rsidRPr="00D2153B">
              <w:t xml:space="preserve">1,500 </w:t>
            </w:r>
          </w:p>
        </w:tc>
      </w:tr>
      <w:tr w:rsidR="00C72836" w:rsidRPr="00D2153B" w14:paraId="43D49194" w14:textId="77777777" w:rsidTr="00BF7598">
        <w:trPr>
          <w:cantSplit/>
          <w:trHeight w:val="227"/>
          <w:jc w:val="center"/>
        </w:trPr>
        <w:tc>
          <w:tcPr>
            <w:tcW w:w="4253" w:type="dxa"/>
            <w:shd w:val="clear" w:color="auto" w:fill="auto"/>
          </w:tcPr>
          <w:p w14:paraId="68316208" w14:textId="77777777" w:rsidR="00C72836" w:rsidRPr="00D2153B" w:rsidRDefault="00C72836" w:rsidP="009C357F">
            <w:pPr>
              <w:pStyle w:val="BStabletext"/>
            </w:pPr>
            <w:r w:rsidRPr="00D2153B">
              <w:t>Mental health support package</w:t>
            </w:r>
          </w:p>
        </w:tc>
        <w:tc>
          <w:tcPr>
            <w:tcW w:w="1208" w:type="dxa"/>
            <w:shd w:val="clear" w:color="auto" w:fill="auto"/>
          </w:tcPr>
          <w:p w14:paraId="498AAED6" w14:textId="77777777" w:rsidR="00C72836" w:rsidRPr="0052231E" w:rsidRDefault="00C72836" w:rsidP="00062636">
            <w:pPr>
              <w:spacing w:after="0" w:line="23" w:lineRule="atLeast"/>
              <w:jc w:val="center"/>
              <w:rPr>
                <w:sz w:val="16"/>
                <w:szCs w:val="16"/>
              </w:rPr>
            </w:pPr>
            <w:r w:rsidRPr="0052231E">
              <w:rPr>
                <w:sz w:val="16"/>
                <w:szCs w:val="16"/>
              </w:rPr>
              <w:t>Net Expense</w:t>
            </w:r>
          </w:p>
        </w:tc>
        <w:tc>
          <w:tcPr>
            <w:tcW w:w="902" w:type="dxa"/>
            <w:shd w:val="clear" w:color="auto" w:fill="auto"/>
          </w:tcPr>
          <w:p w14:paraId="68623117" w14:textId="77777777" w:rsidR="00C72836" w:rsidRPr="00D2153B" w:rsidRDefault="00C72836" w:rsidP="009C357F">
            <w:pPr>
              <w:pStyle w:val="BStablefigures"/>
            </w:pPr>
            <w:r w:rsidRPr="00D2153B">
              <w:t xml:space="preserve">192 </w:t>
            </w:r>
          </w:p>
        </w:tc>
        <w:tc>
          <w:tcPr>
            <w:tcW w:w="903" w:type="dxa"/>
            <w:shd w:val="clear" w:color="auto" w:fill="auto"/>
          </w:tcPr>
          <w:p w14:paraId="1A022808" w14:textId="77777777" w:rsidR="00C72836" w:rsidRPr="00D2153B" w:rsidRDefault="00C72836" w:rsidP="009C357F">
            <w:pPr>
              <w:pStyle w:val="BStablefigures"/>
            </w:pPr>
            <w:r w:rsidRPr="00D2153B">
              <w:t xml:space="preserve">3,795 </w:t>
            </w:r>
          </w:p>
        </w:tc>
        <w:tc>
          <w:tcPr>
            <w:tcW w:w="902" w:type="dxa"/>
            <w:shd w:val="clear" w:color="auto" w:fill="auto"/>
          </w:tcPr>
          <w:p w14:paraId="5FC68B3A" w14:textId="77777777" w:rsidR="00C72836" w:rsidRPr="00D2153B" w:rsidRDefault="00C72836" w:rsidP="009C357F">
            <w:pPr>
              <w:pStyle w:val="BStablefigures"/>
            </w:pPr>
            <w:r w:rsidRPr="00D2153B">
              <w:t xml:space="preserve">0 </w:t>
            </w:r>
          </w:p>
        </w:tc>
        <w:tc>
          <w:tcPr>
            <w:tcW w:w="903" w:type="dxa"/>
            <w:shd w:val="clear" w:color="auto" w:fill="auto"/>
          </w:tcPr>
          <w:p w14:paraId="5ED8257B" w14:textId="77777777" w:rsidR="00C72836" w:rsidRPr="00D2153B" w:rsidRDefault="00C72836" w:rsidP="009C357F">
            <w:pPr>
              <w:pStyle w:val="BStablefigures"/>
            </w:pPr>
            <w:r w:rsidRPr="00D2153B">
              <w:t xml:space="preserve">0 </w:t>
            </w:r>
          </w:p>
        </w:tc>
        <w:tc>
          <w:tcPr>
            <w:tcW w:w="903" w:type="dxa"/>
            <w:shd w:val="clear" w:color="auto" w:fill="auto"/>
          </w:tcPr>
          <w:p w14:paraId="2522D1BA" w14:textId="77777777" w:rsidR="00C72836" w:rsidRPr="00D2153B" w:rsidRDefault="00C72836" w:rsidP="009C357F">
            <w:pPr>
              <w:pStyle w:val="BStablefiguresbold"/>
            </w:pPr>
            <w:r w:rsidRPr="00D2153B">
              <w:t xml:space="preserve">3,987 </w:t>
            </w:r>
          </w:p>
        </w:tc>
      </w:tr>
      <w:tr w:rsidR="00C72836" w:rsidRPr="00D2153B" w14:paraId="1FD25889" w14:textId="77777777" w:rsidTr="00BF7598">
        <w:trPr>
          <w:cantSplit/>
          <w:trHeight w:val="227"/>
          <w:jc w:val="center"/>
        </w:trPr>
        <w:tc>
          <w:tcPr>
            <w:tcW w:w="4253" w:type="dxa"/>
            <w:shd w:val="clear" w:color="auto" w:fill="auto"/>
          </w:tcPr>
          <w:p w14:paraId="4CE1BFC5" w14:textId="77777777" w:rsidR="00C72836" w:rsidRPr="00D2153B" w:rsidRDefault="00C72836" w:rsidP="009C357F">
            <w:pPr>
              <w:pStyle w:val="BStabletext"/>
            </w:pPr>
            <w:r w:rsidRPr="00D2153B">
              <w:t>More support for the healthcare system</w:t>
            </w:r>
          </w:p>
        </w:tc>
        <w:tc>
          <w:tcPr>
            <w:tcW w:w="1208" w:type="dxa"/>
            <w:shd w:val="clear" w:color="auto" w:fill="auto"/>
          </w:tcPr>
          <w:p w14:paraId="0B86BCB7"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4B026B48" w14:textId="7059A867" w:rsidR="00C72836" w:rsidRPr="00D2153B" w:rsidRDefault="00B85838" w:rsidP="009C357F">
            <w:pPr>
              <w:pStyle w:val="BStablefigures"/>
            </w:pPr>
            <w:r>
              <w:t>TBC</w:t>
            </w:r>
            <w:r w:rsidR="00C72836" w:rsidRPr="00D2153B">
              <w:t xml:space="preserve"> </w:t>
            </w:r>
          </w:p>
        </w:tc>
        <w:tc>
          <w:tcPr>
            <w:tcW w:w="903" w:type="dxa"/>
            <w:shd w:val="clear" w:color="auto" w:fill="auto"/>
          </w:tcPr>
          <w:p w14:paraId="36DA88D7" w14:textId="1776B6C5" w:rsidR="00C72836" w:rsidRPr="00D2153B" w:rsidRDefault="001A1506" w:rsidP="009C357F">
            <w:pPr>
              <w:pStyle w:val="BStablefigures"/>
            </w:pPr>
            <w:r>
              <w:t>TBC</w:t>
            </w:r>
          </w:p>
        </w:tc>
        <w:tc>
          <w:tcPr>
            <w:tcW w:w="902" w:type="dxa"/>
            <w:shd w:val="clear" w:color="auto" w:fill="auto"/>
          </w:tcPr>
          <w:p w14:paraId="78C07838" w14:textId="387A34A6" w:rsidR="00C72836" w:rsidRPr="00D2153B" w:rsidRDefault="00993334" w:rsidP="009C357F">
            <w:pPr>
              <w:pStyle w:val="BStablefigures"/>
            </w:pPr>
            <w:r>
              <w:t>0</w:t>
            </w:r>
          </w:p>
        </w:tc>
        <w:tc>
          <w:tcPr>
            <w:tcW w:w="903" w:type="dxa"/>
            <w:shd w:val="clear" w:color="auto" w:fill="auto"/>
          </w:tcPr>
          <w:p w14:paraId="0AD0ED90" w14:textId="6D8045B3" w:rsidR="00C72836" w:rsidRPr="00D2153B" w:rsidRDefault="00993334" w:rsidP="009C357F">
            <w:pPr>
              <w:pStyle w:val="BStablefigures"/>
            </w:pPr>
            <w:r>
              <w:t>0</w:t>
            </w:r>
          </w:p>
        </w:tc>
        <w:tc>
          <w:tcPr>
            <w:tcW w:w="903" w:type="dxa"/>
            <w:shd w:val="clear" w:color="auto" w:fill="auto"/>
          </w:tcPr>
          <w:p w14:paraId="0C36727A" w14:textId="77777777" w:rsidR="00C72836" w:rsidRPr="00D2153B" w:rsidRDefault="00C72836" w:rsidP="009C357F">
            <w:pPr>
              <w:pStyle w:val="BStablefiguresbold"/>
            </w:pPr>
            <w:r w:rsidRPr="00D2153B">
              <w:t xml:space="preserve">126,000 </w:t>
            </w:r>
          </w:p>
        </w:tc>
      </w:tr>
      <w:tr w:rsidR="00C72836" w:rsidRPr="00D2153B" w14:paraId="25387166" w14:textId="77777777" w:rsidTr="00BF7598">
        <w:trPr>
          <w:cantSplit/>
          <w:trHeight w:val="227"/>
          <w:jc w:val="center"/>
        </w:trPr>
        <w:tc>
          <w:tcPr>
            <w:tcW w:w="4253" w:type="dxa"/>
            <w:shd w:val="clear" w:color="auto" w:fill="auto"/>
          </w:tcPr>
          <w:p w14:paraId="639B4BAC" w14:textId="00535100" w:rsidR="00C72836" w:rsidRPr="00D2153B" w:rsidRDefault="00C72836" w:rsidP="009C357F">
            <w:pPr>
              <w:pStyle w:val="BStabletext"/>
            </w:pPr>
            <w:r w:rsidRPr="00D2153B">
              <w:t xml:space="preserve">Public Housing </w:t>
            </w:r>
            <w:r w:rsidR="00877AFB">
              <w:t>–</w:t>
            </w:r>
            <w:r w:rsidRPr="00D2153B">
              <w:t xml:space="preserve"> $250 rent rebate</w:t>
            </w:r>
          </w:p>
        </w:tc>
        <w:tc>
          <w:tcPr>
            <w:tcW w:w="1208" w:type="dxa"/>
            <w:shd w:val="clear" w:color="auto" w:fill="auto"/>
          </w:tcPr>
          <w:p w14:paraId="57B2DF66" w14:textId="77777777" w:rsidR="00C72836" w:rsidRPr="0052231E" w:rsidRDefault="00C72836" w:rsidP="00062636">
            <w:pPr>
              <w:spacing w:after="0" w:line="23" w:lineRule="atLeast"/>
              <w:jc w:val="center"/>
              <w:rPr>
                <w:sz w:val="16"/>
                <w:szCs w:val="16"/>
              </w:rPr>
            </w:pPr>
            <w:r w:rsidRPr="0052231E">
              <w:rPr>
                <w:sz w:val="16"/>
                <w:szCs w:val="16"/>
              </w:rPr>
              <w:t>Expense</w:t>
            </w:r>
          </w:p>
        </w:tc>
        <w:tc>
          <w:tcPr>
            <w:tcW w:w="902" w:type="dxa"/>
            <w:shd w:val="clear" w:color="auto" w:fill="auto"/>
          </w:tcPr>
          <w:p w14:paraId="043124B3" w14:textId="77777777" w:rsidR="00C72836" w:rsidRPr="00D2153B" w:rsidRDefault="00C72836" w:rsidP="009C357F">
            <w:pPr>
              <w:pStyle w:val="BStablefigures"/>
            </w:pPr>
            <w:r w:rsidRPr="00D2153B">
              <w:t xml:space="preserve">3,000 </w:t>
            </w:r>
          </w:p>
        </w:tc>
        <w:tc>
          <w:tcPr>
            <w:tcW w:w="903" w:type="dxa"/>
            <w:shd w:val="clear" w:color="auto" w:fill="auto"/>
          </w:tcPr>
          <w:p w14:paraId="6C5995EE" w14:textId="77777777" w:rsidR="00C72836" w:rsidRPr="00D2153B" w:rsidRDefault="00C72836" w:rsidP="009C357F">
            <w:pPr>
              <w:pStyle w:val="BStablefigures"/>
            </w:pPr>
            <w:r w:rsidRPr="00D2153B">
              <w:t xml:space="preserve">0 </w:t>
            </w:r>
          </w:p>
        </w:tc>
        <w:tc>
          <w:tcPr>
            <w:tcW w:w="902" w:type="dxa"/>
            <w:shd w:val="clear" w:color="auto" w:fill="auto"/>
          </w:tcPr>
          <w:p w14:paraId="43D9C06D" w14:textId="77777777" w:rsidR="00C72836" w:rsidRPr="00D2153B" w:rsidRDefault="00C72836" w:rsidP="009C357F">
            <w:pPr>
              <w:pStyle w:val="BStablefigures"/>
            </w:pPr>
            <w:r w:rsidRPr="00D2153B">
              <w:t xml:space="preserve">0 </w:t>
            </w:r>
          </w:p>
        </w:tc>
        <w:tc>
          <w:tcPr>
            <w:tcW w:w="903" w:type="dxa"/>
            <w:shd w:val="clear" w:color="auto" w:fill="auto"/>
          </w:tcPr>
          <w:p w14:paraId="13B7DDE8" w14:textId="77777777" w:rsidR="00C72836" w:rsidRPr="00D2153B" w:rsidRDefault="00C72836" w:rsidP="009C357F">
            <w:pPr>
              <w:pStyle w:val="BStablefigures"/>
            </w:pPr>
            <w:r w:rsidRPr="00D2153B">
              <w:t xml:space="preserve">0 </w:t>
            </w:r>
          </w:p>
        </w:tc>
        <w:tc>
          <w:tcPr>
            <w:tcW w:w="903" w:type="dxa"/>
            <w:shd w:val="clear" w:color="auto" w:fill="auto"/>
          </w:tcPr>
          <w:p w14:paraId="0FC8CBA0" w14:textId="77777777" w:rsidR="00C72836" w:rsidRPr="00D2153B" w:rsidRDefault="00C72836" w:rsidP="009C357F">
            <w:pPr>
              <w:pStyle w:val="BStablefiguresbold"/>
            </w:pPr>
            <w:r w:rsidRPr="00D2153B">
              <w:t xml:space="preserve">3,000 </w:t>
            </w:r>
          </w:p>
        </w:tc>
      </w:tr>
      <w:tr w:rsidR="00C72836" w:rsidRPr="00D2153B" w14:paraId="670D2BDE" w14:textId="77777777" w:rsidTr="00043D58">
        <w:trPr>
          <w:cantSplit/>
          <w:trHeight w:val="446"/>
          <w:jc w:val="center"/>
        </w:trPr>
        <w:tc>
          <w:tcPr>
            <w:tcW w:w="4253" w:type="dxa"/>
            <w:tcBorders>
              <w:bottom w:val="single" w:sz="4" w:space="0" w:color="auto"/>
            </w:tcBorders>
            <w:shd w:val="clear" w:color="auto" w:fill="auto"/>
          </w:tcPr>
          <w:p w14:paraId="01631958" w14:textId="41797A87" w:rsidR="00C72836" w:rsidRPr="00D2153B" w:rsidRDefault="00C72836" w:rsidP="009C357F">
            <w:pPr>
              <w:pStyle w:val="BStabletext"/>
            </w:pPr>
            <w:r w:rsidRPr="00D2153B">
              <w:lastRenderedPageBreak/>
              <w:t>Waiver of fees for Early Childhood Education and Care service providers</w:t>
            </w:r>
            <w:r>
              <w:t xml:space="preserve"> </w:t>
            </w:r>
          </w:p>
        </w:tc>
        <w:tc>
          <w:tcPr>
            <w:tcW w:w="1208" w:type="dxa"/>
            <w:tcBorders>
              <w:bottom w:val="single" w:sz="4" w:space="0" w:color="auto"/>
            </w:tcBorders>
            <w:shd w:val="clear" w:color="auto" w:fill="auto"/>
          </w:tcPr>
          <w:p w14:paraId="51CFFCCA" w14:textId="77777777" w:rsidR="00C72836" w:rsidRPr="0052231E" w:rsidRDefault="00C72836" w:rsidP="00062636">
            <w:pPr>
              <w:spacing w:after="0" w:line="23" w:lineRule="atLeast"/>
              <w:jc w:val="center"/>
              <w:rPr>
                <w:sz w:val="16"/>
                <w:szCs w:val="16"/>
              </w:rPr>
            </w:pPr>
            <w:r w:rsidRPr="0052231E">
              <w:rPr>
                <w:sz w:val="16"/>
                <w:szCs w:val="16"/>
              </w:rPr>
              <w:t>Revenue forgone</w:t>
            </w:r>
          </w:p>
        </w:tc>
        <w:tc>
          <w:tcPr>
            <w:tcW w:w="902" w:type="dxa"/>
            <w:tcBorders>
              <w:bottom w:val="single" w:sz="4" w:space="0" w:color="auto"/>
            </w:tcBorders>
            <w:shd w:val="clear" w:color="auto" w:fill="auto"/>
          </w:tcPr>
          <w:p w14:paraId="3321B796" w14:textId="77777777" w:rsidR="00C72836" w:rsidRPr="00D2153B" w:rsidRDefault="00C72836" w:rsidP="009C357F">
            <w:pPr>
              <w:pStyle w:val="BStablefigures"/>
            </w:pPr>
            <w:r w:rsidRPr="00D2153B">
              <w:t xml:space="preserve">130 </w:t>
            </w:r>
          </w:p>
        </w:tc>
        <w:tc>
          <w:tcPr>
            <w:tcW w:w="903" w:type="dxa"/>
            <w:tcBorders>
              <w:bottom w:val="single" w:sz="4" w:space="0" w:color="auto"/>
            </w:tcBorders>
            <w:shd w:val="clear" w:color="auto" w:fill="auto"/>
          </w:tcPr>
          <w:p w14:paraId="2F8CD181" w14:textId="77777777" w:rsidR="00C72836" w:rsidRPr="00D2153B" w:rsidRDefault="00C72836" w:rsidP="009C357F">
            <w:pPr>
              <w:pStyle w:val="BStablefigures"/>
            </w:pPr>
            <w:r w:rsidRPr="00D2153B">
              <w:t xml:space="preserve">0 </w:t>
            </w:r>
          </w:p>
        </w:tc>
        <w:tc>
          <w:tcPr>
            <w:tcW w:w="902" w:type="dxa"/>
            <w:tcBorders>
              <w:bottom w:val="single" w:sz="4" w:space="0" w:color="auto"/>
            </w:tcBorders>
            <w:shd w:val="clear" w:color="auto" w:fill="auto"/>
          </w:tcPr>
          <w:p w14:paraId="484E1DCD" w14:textId="77777777" w:rsidR="00C72836" w:rsidRPr="00D2153B" w:rsidRDefault="00C72836" w:rsidP="009C357F">
            <w:pPr>
              <w:pStyle w:val="BStablefigures"/>
            </w:pPr>
            <w:r w:rsidRPr="00D2153B">
              <w:t xml:space="preserve">0 </w:t>
            </w:r>
          </w:p>
        </w:tc>
        <w:tc>
          <w:tcPr>
            <w:tcW w:w="903" w:type="dxa"/>
            <w:tcBorders>
              <w:bottom w:val="single" w:sz="4" w:space="0" w:color="auto"/>
            </w:tcBorders>
            <w:shd w:val="clear" w:color="auto" w:fill="auto"/>
          </w:tcPr>
          <w:p w14:paraId="77DA1670" w14:textId="77777777" w:rsidR="00C72836" w:rsidRPr="00D2153B" w:rsidRDefault="00C72836" w:rsidP="009C357F">
            <w:pPr>
              <w:pStyle w:val="BStablefigures"/>
            </w:pPr>
            <w:r w:rsidRPr="00D2153B">
              <w:t xml:space="preserve">0 </w:t>
            </w:r>
          </w:p>
        </w:tc>
        <w:tc>
          <w:tcPr>
            <w:tcW w:w="903" w:type="dxa"/>
            <w:tcBorders>
              <w:bottom w:val="single" w:sz="4" w:space="0" w:color="auto"/>
            </w:tcBorders>
            <w:shd w:val="clear" w:color="auto" w:fill="auto"/>
          </w:tcPr>
          <w:p w14:paraId="049BC625" w14:textId="77777777" w:rsidR="00C72836" w:rsidRPr="00D2153B" w:rsidRDefault="00C72836" w:rsidP="009C357F">
            <w:pPr>
              <w:pStyle w:val="BStablefiguresbold"/>
            </w:pPr>
            <w:r w:rsidRPr="00D2153B">
              <w:t xml:space="preserve">130 </w:t>
            </w:r>
          </w:p>
        </w:tc>
      </w:tr>
    </w:tbl>
    <w:p w14:paraId="08331BAB" w14:textId="6EBB5B6B" w:rsidR="00C72836" w:rsidRPr="00500F23" w:rsidRDefault="00C72836" w:rsidP="00B85838">
      <w:pPr>
        <w:pStyle w:val="BFooter"/>
        <w:pBdr>
          <w:top w:val="none" w:sz="0" w:space="0" w:color="auto"/>
        </w:pBdr>
        <w:spacing w:before="120"/>
        <w:ind w:left="-426"/>
        <w:rPr>
          <w:b/>
          <w:bCs/>
          <w:i w:val="0"/>
          <w:iCs/>
        </w:rPr>
      </w:pPr>
      <w:r w:rsidRPr="00500F23">
        <w:rPr>
          <w:b/>
          <w:bCs/>
          <w:i w:val="0"/>
          <w:iCs/>
        </w:rPr>
        <w:t>Notes:</w:t>
      </w:r>
    </w:p>
    <w:p w14:paraId="0B5D6657" w14:textId="7FE4611B" w:rsidR="00C72836" w:rsidRPr="009C357F" w:rsidRDefault="004C307E" w:rsidP="004C307E">
      <w:pPr>
        <w:pStyle w:val="BNotelist"/>
        <w:widowControl w:val="0"/>
        <w:ind w:left="-141" w:hanging="284"/>
        <w:rPr>
          <w:szCs w:val="18"/>
        </w:rPr>
      </w:pPr>
      <w:r w:rsidRPr="00500F23">
        <w:rPr>
          <w:szCs w:val="18"/>
        </w:rPr>
        <w:t>For r</w:t>
      </w:r>
      <w:r w:rsidR="00C72836" w:rsidRPr="00500F23">
        <w:rPr>
          <w:szCs w:val="18"/>
        </w:rPr>
        <w:t xml:space="preserve">evenue forgone </w:t>
      </w:r>
      <w:r w:rsidRPr="00500F23">
        <w:rPr>
          <w:szCs w:val="18"/>
        </w:rPr>
        <w:t xml:space="preserve">impacts, expense impacts and capital </w:t>
      </w:r>
      <w:r w:rsidRPr="009C357F">
        <w:rPr>
          <w:szCs w:val="18"/>
        </w:rPr>
        <w:t>impacts</w:t>
      </w:r>
      <w:r w:rsidR="00C72836" w:rsidRPr="009C357F">
        <w:rPr>
          <w:szCs w:val="18"/>
        </w:rPr>
        <w:t>, a positive number indicates a cost to government</w:t>
      </w:r>
      <w:r w:rsidR="0017795E" w:rsidRPr="009C357F">
        <w:rPr>
          <w:szCs w:val="18"/>
        </w:rPr>
        <w:t xml:space="preserve"> and a </w:t>
      </w:r>
      <w:r w:rsidR="00082A09" w:rsidRPr="009C357F">
        <w:rPr>
          <w:szCs w:val="18"/>
        </w:rPr>
        <w:t>negative</w:t>
      </w:r>
      <w:r w:rsidR="0017795E" w:rsidRPr="009C357F">
        <w:rPr>
          <w:szCs w:val="18"/>
        </w:rPr>
        <w:t xml:space="preserve"> number indicates a benefit to government</w:t>
      </w:r>
      <w:r w:rsidR="00473880" w:rsidRPr="009C357F">
        <w:rPr>
          <w:szCs w:val="18"/>
        </w:rPr>
        <w:t xml:space="preserve">.  </w:t>
      </w:r>
    </w:p>
    <w:p w14:paraId="5C20512A" w14:textId="275FDBF6" w:rsidR="00584A22" w:rsidRDefault="004C307E" w:rsidP="00584A22">
      <w:pPr>
        <w:pStyle w:val="BNotelist"/>
        <w:widowControl w:val="0"/>
        <w:ind w:left="-141" w:hanging="284"/>
        <w:rPr>
          <w:szCs w:val="18"/>
        </w:rPr>
      </w:pPr>
      <w:r w:rsidRPr="00500F23">
        <w:rPr>
          <w:szCs w:val="18"/>
        </w:rPr>
        <w:t>For cash and revenue impacts, a negative number indicates a cost to government and a positive number indicates a</w:t>
      </w:r>
      <w:r w:rsidR="0017795E">
        <w:rPr>
          <w:szCs w:val="18"/>
        </w:rPr>
        <w:t xml:space="preserve"> benefit</w:t>
      </w:r>
      <w:r w:rsidRPr="00500F23">
        <w:rPr>
          <w:szCs w:val="18"/>
        </w:rPr>
        <w:t xml:space="preserve"> to government</w:t>
      </w:r>
      <w:r w:rsidR="00473880">
        <w:rPr>
          <w:szCs w:val="18"/>
        </w:rPr>
        <w:t xml:space="preserve">. </w:t>
      </w:r>
      <w:r w:rsidRPr="00500F23">
        <w:rPr>
          <w:szCs w:val="18"/>
        </w:rPr>
        <w:t xml:space="preserve"> </w:t>
      </w:r>
    </w:p>
    <w:p w14:paraId="12F23868" w14:textId="18FE4A18" w:rsidR="00584A22" w:rsidRPr="00584A22" w:rsidRDefault="00584A22" w:rsidP="00584A22">
      <w:pPr>
        <w:pStyle w:val="BNotelist"/>
        <w:widowControl w:val="0"/>
        <w:ind w:left="-141" w:hanging="284"/>
        <w:rPr>
          <w:szCs w:val="18"/>
        </w:rPr>
      </w:pPr>
      <w:r w:rsidRPr="00584A22">
        <w:rPr>
          <w:szCs w:val="18"/>
        </w:rPr>
        <w:t>The listed initiatives</w:t>
      </w:r>
      <w:r w:rsidRPr="00F747E4">
        <w:rPr>
          <w:szCs w:val="18"/>
        </w:rPr>
        <w:t xml:space="preserve"> </w:t>
      </w:r>
      <w:r w:rsidRPr="00584A22">
        <w:rPr>
          <w:szCs w:val="18"/>
        </w:rPr>
        <w:t>do not include estimates for 2023-24</w:t>
      </w:r>
      <w:r w:rsidR="00473880">
        <w:rPr>
          <w:szCs w:val="18"/>
        </w:rPr>
        <w:t xml:space="preserve">.  </w:t>
      </w:r>
    </w:p>
    <w:p w14:paraId="1686ACE1" w14:textId="77777777" w:rsidR="00C72836" w:rsidRPr="00F81089" w:rsidRDefault="00C72836" w:rsidP="009C357F">
      <w:pPr>
        <w:pStyle w:val="BStabletext"/>
      </w:pPr>
    </w:p>
    <w:p w14:paraId="6F011B5F" w14:textId="77777777" w:rsidR="00F56EB5" w:rsidRDefault="00F56EB5">
      <w:pPr>
        <w:rPr>
          <w:rFonts w:ascii="Calibri" w:eastAsiaTheme="majorEastAsia" w:hAnsi="Calibri" w:cstheme="majorBidi"/>
          <w:b/>
          <w:sz w:val="32"/>
          <w:szCs w:val="26"/>
        </w:rPr>
      </w:pPr>
      <w:r>
        <w:br w:type="page"/>
      </w:r>
    </w:p>
    <w:p w14:paraId="41DA9E14" w14:textId="66DAB290" w:rsidR="0068350E" w:rsidRPr="00973AF7" w:rsidRDefault="0068350E" w:rsidP="000373C6">
      <w:pPr>
        <w:pStyle w:val="Heading2"/>
      </w:pPr>
      <w:r w:rsidRPr="00973AF7">
        <w:lastRenderedPageBreak/>
        <w:t>Supporting local businesses</w:t>
      </w:r>
      <w:r w:rsidR="005A73FB" w:rsidRPr="00973AF7">
        <w:t>, jobs</w:t>
      </w:r>
      <w:r w:rsidRPr="00973AF7">
        <w:t xml:space="preserve"> and the economy</w:t>
      </w:r>
    </w:p>
    <w:p w14:paraId="6B036C4E" w14:textId="77777777" w:rsidR="007D7828" w:rsidRPr="00973AF7" w:rsidRDefault="007D7828" w:rsidP="007D7828">
      <w:pPr>
        <w:pStyle w:val="Heading3"/>
      </w:pPr>
      <w:r w:rsidRPr="00973AF7">
        <w:t xml:space="preserve">$1,000 additional electricity rebate for cafes, takeaways and restaurants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0F249DC0" w14:textId="77777777" w:rsidTr="007D7828">
        <w:tc>
          <w:tcPr>
            <w:tcW w:w="2510" w:type="dxa"/>
            <w:tcBorders>
              <w:bottom w:val="single" w:sz="4" w:space="0" w:color="auto"/>
            </w:tcBorders>
          </w:tcPr>
          <w:p w14:paraId="7D5ECAD1" w14:textId="77777777" w:rsidR="007D7828" w:rsidRPr="00973AF7" w:rsidRDefault="007D7828" w:rsidP="007D7828">
            <w:pPr>
              <w:pStyle w:val="Initiativefigures"/>
            </w:pPr>
          </w:p>
        </w:tc>
        <w:tc>
          <w:tcPr>
            <w:tcW w:w="1301" w:type="dxa"/>
            <w:tcBorders>
              <w:bottom w:val="single" w:sz="4" w:space="0" w:color="auto"/>
            </w:tcBorders>
          </w:tcPr>
          <w:p w14:paraId="3897B614" w14:textId="77777777" w:rsidR="007D7828" w:rsidRPr="00973AF7" w:rsidRDefault="007D7828" w:rsidP="007D7828">
            <w:pPr>
              <w:pStyle w:val="Initiativefigures"/>
            </w:pPr>
            <w:r w:rsidRPr="00973AF7">
              <w:t>2019-20</w:t>
            </w:r>
          </w:p>
          <w:p w14:paraId="2F30E460"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01B5F8D1" w14:textId="77777777" w:rsidR="007D7828" w:rsidRPr="00973AF7" w:rsidRDefault="007D7828" w:rsidP="007D7828">
            <w:pPr>
              <w:pStyle w:val="Initiativefigures"/>
            </w:pPr>
            <w:r w:rsidRPr="00973AF7">
              <w:t>2020-21</w:t>
            </w:r>
          </w:p>
          <w:p w14:paraId="3D171768"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39E9D470" w14:textId="77777777" w:rsidR="007D7828" w:rsidRPr="00973AF7" w:rsidRDefault="007D7828" w:rsidP="007D7828">
            <w:pPr>
              <w:pStyle w:val="Initiativefigures"/>
            </w:pPr>
            <w:r w:rsidRPr="00973AF7">
              <w:t>2021-22</w:t>
            </w:r>
          </w:p>
          <w:p w14:paraId="5A87AD7E"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2217AEB1" w14:textId="77777777" w:rsidR="007D7828" w:rsidRPr="00973AF7" w:rsidRDefault="007D7828" w:rsidP="007D7828">
            <w:pPr>
              <w:pStyle w:val="Initiativefigures"/>
            </w:pPr>
            <w:r w:rsidRPr="00973AF7">
              <w:t>2022-23</w:t>
            </w:r>
          </w:p>
          <w:p w14:paraId="01956FB5" w14:textId="77777777" w:rsidR="007D7828" w:rsidRPr="00973AF7" w:rsidRDefault="007D7828" w:rsidP="007D7828">
            <w:pPr>
              <w:pStyle w:val="Initiativefigures"/>
            </w:pPr>
            <w:r w:rsidRPr="00973AF7">
              <w:t>$’000</w:t>
            </w:r>
          </w:p>
        </w:tc>
        <w:tc>
          <w:tcPr>
            <w:tcW w:w="1302" w:type="dxa"/>
            <w:tcBorders>
              <w:bottom w:val="single" w:sz="4" w:space="0" w:color="auto"/>
            </w:tcBorders>
          </w:tcPr>
          <w:p w14:paraId="5CEB1718" w14:textId="77777777" w:rsidR="007D7828" w:rsidRPr="00973AF7" w:rsidRDefault="007D7828" w:rsidP="007D7828">
            <w:pPr>
              <w:pStyle w:val="Initiativefigures"/>
              <w:rPr>
                <w:b/>
                <w:bCs/>
              </w:rPr>
            </w:pPr>
            <w:r w:rsidRPr="00973AF7">
              <w:rPr>
                <w:b/>
                <w:bCs/>
              </w:rPr>
              <w:t xml:space="preserve">Total </w:t>
            </w:r>
          </w:p>
          <w:p w14:paraId="41E1D13B" w14:textId="77777777" w:rsidR="007D7828" w:rsidRPr="00973AF7" w:rsidRDefault="007D7828" w:rsidP="007D7828">
            <w:pPr>
              <w:pStyle w:val="Initiativefigures"/>
              <w:rPr>
                <w:b/>
                <w:bCs/>
              </w:rPr>
            </w:pPr>
            <w:r w:rsidRPr="00973AF7">
              <w:rPr>
                <w:b/>
                <w:bCs/>
              </w:rPr>
              <w:t>$’000</w:t>
            </w:r>
          </w:p>
        </w:tc>
      </w:tr>
      <w:tr w:rsidR="007D7828" w:rsidRPr="00973AF7" w14:paraId="305B08B0" w14:textId="77777777" w:rsidTr="007D7828">
        <w:trPr>
          <w:trHeight w:val="176"/>
        </w:trPr>
        <w:tc>
          <w:tcPr>
            <w:tcW w:w="2510" w:type="dxa"/>
            <w:tcBorders>
              <w:bottom w:val="single" w:sz="4" w:space="0" w:color="auto"/>
            </w:tcBorders>
          </w:tcPr>
          <w:p w14:paraId="0AC49603" w14:textId="77777777" w:rsidR="007D7828" w:rsidRPr="00973AF7" w:rsidRDefault="007D7828" w:rsidP="007D7828">
            <w:pPr>
              <w:pStyle w:val="Initiativetext"/>
              <w:keepNext/>
              <w:keepLines/>
            </w:pPr>
            <w:r w:rsidRPr="00973AF7">
              <w:t>Expense</w:t>
            </w:r>
          </w:p>
        </w:tc>
        <w:tc>
          <w:tcPr>
            <w:tcW w:w="1301" w:type="dxa"/>
            <w:tcBorders>
              <w:bottom w:val="single" w:sz="4" w:space="0" w:color="auto"/>
            </w:tcBorders>
          </w:tcPr>
          <w:p w14:paraId="32BB9A9A"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6226D18C" w14:textId="77777777" w:rsidR="007D7828" w:rsidRPr="00973AF7" w:rsidRDefault="007D7828" w:rsidP="007D7828">
            <w:pPr>
              <w:pStyle w:val="Initiativefigures"/>
              <w:keepNext/>
              <w:keepLines/>
            </w:pPr>
            <w:r w:rsidRPr="00973AF7">
              <w:t>1,500</w:t>
            </w:r>
          </w:p>
        </w:tc>
        <w:tc>
          <w:tcPr>
            <w:tcW w:w="1301" w:type="dxa"/>
            <w:tcBorders>
              <w:bottom w:val="single" w:sz="4" w:space="0" w:color="auto"/>
            </w:tcBorders>
          </w:tcPr>
          <w:p w14:paraId="0641CC44"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25460F77" w14:textId="77777777" w:rsidR="007D7828" w:rsidRPr="00973AF7" w:rsidRDefault="007D7828" w:rsidP="007D7828">
            <w:pPr>
              <w:pStyle w:val="Initiativefigures"/>
              <w:keepNext/>
              <w:keepLines/>
            </w:pPr>
            <w:r w:rsidRPr="00973AF7">
              <w:t>0</w:t>
            </w:r>
          </w:p>
        </w:tc>
        <w:tc>
          <w:tcPr>
            <w:tcW w:w="1302" w:type="dxa"/>
            <w:tcBorders>
              <w:bottom w:val="single" w:sz="4" w:space="0" w:color="auto"/>
            </w:tcBorders>
          </w:tcPr>
          <w:p w14:paraId="0BCC1C01" w14:textId="77777777" w:rsidR="007D7828" w:rsidRPr="00473880" w:rsidRDefault="007D7828" w:rsidP="007D7828">
            <w:pPr>
              <w:pStyle w:val="Initiativefigures"/>
              <w:keepNext/>
              <w:keepLines/>
              <w:rPr>
                <w:b/>
                <w:bCs/>
              </w:rPr>
            </w:pPr>
            <w:r w:rsidRPr="00473880">
              <w:rPr>
                <w:b/>
                <w:bCs/>
              </w:rPr>
              <w:t>1,500</w:t>
            </w:r>
          </w:p>
        </w:tc>
      </w:tr>
    </w:tbl>
    <w:p w14:paraId="2F6915DD" w14:textId="776E530C" w:rsidR="007D7828" w:rsidRPr="00973AF7" w:rsidRDefault="007D7828" w:rsidP="007D7828">
      <w:pPr>
        <w:pStyle w:val="Bbodytext"/>
      </w:pPr>
      <w:r w:rsidRPr="00973AF7">
        <w:t>The Government will provide eligible cafes, takeaways and restaurants with a one-off $1,000 rebate on their electricity bill during the first quarter of 2020-21, to help support these businesses during the economic recovery period</w:t>
      </w:r>
      <w:r w:rsidR="00473880">
        <w:t xml:space="preserve">.  </w:t>
      </w:r>
    </w:p>
    <w:p w14:paraId="6D789586" w14:textId="1017307B" w:rsidR="007D7828" w:rsidRPr="00973AF7" w:rsidRDefault="007D7828" w:rsidP="007D7828">
      <w:pPr>
        <w:pStyle w:val="Bbodytext"/>
      </w:pPr>
      <w:r w:rsidRPr="00973AF7">
        <w:t xml:space="preserve">Eligible businesses can apply via the </w:t>
      </w:r>
      <w:hyperlink r:id="rId13" w:history="1">
        <w:r w:rsidRPr="00973AF7">
          <w:rPr>
            <w:rStyle w:val="Hyperlink"/>
          </w:rPr>
          <w:t>Access Canberra website</w:t>
        </w:r>
      </w:hyperlink>
      <w:r w:rsidR="00473880">
        <w:t xml:space="preserve">.  </w:t>
      </w:r>
    </w:p>
    <w:p w14:paraId="2DD0DDDD" w14:textId="77777777" w:rsidR="007D7828" w:rsidRPr="00973AF7" w:rsidRDefault="007D7828" w:rsidP="007D7828">
      <w:pPr>
        <w:pStyle w:val="Heading3"/>
      </w:pPr>
      <w:r w:rsidRPr="00973AF7">
        <w:t>Additional support for the Vocational Education and Training Sector</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2180508F" w14:textId="77777777" w:rsidTr="007D7828">
        <w:tc>
          <w:tcPr>
            <w:tcW w:w="2510" w:type="dxa"/>
            <w:tcBorders>
              <w:bottom w:val="single" w:sz="4" w:space="0" w:color="auto"/>
            </w:tcBorders>
          </w:tcPr>
          <w:p w14:paraId="40DC2986" w14:textId="77777777" w:rsidR="007D7828" w:rsidRPr="00973AF7" w:rsidRDefault="007D7828" w:rsidP="007D7828">
            <w:pPr>
              <w:pStyle w:val="Initiativefigures"/>
              <w:keepNext/>
              <w:keepLines/>
            </w:pPr>
          </w:p>
        </w:tc>
        <w:tc>
          <w:tcPr>
            <w:tcW w:w="1301" w:type="dxa"/>
            <w:tcBorders>
              <w:bottom w:val="single" w:sz="4" w:space="0" w:color="auto"/>
            </w:tcBorders>
          </w:tcPr>
          <w:p w14:paraId="5931C309" w14:textId="77777777" w:rsidR="007D7828" w:rsidRPr="00973AF7" w:rsidRDefault="007D7828" w:rsidP="007D7828">
            <w:pPr>
              <w:pStyle w:val="Initiativefigures"/>
              <w:keepNext/>
              <w:keepLines/>
            </w:pPr>
            <w:r w:rsidRPr="00973AF7">
              <w:t>2019-20</w:t>
            </w:r>
          </w:p>
          <w:p w14:paraId="65140370"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4BD4D15A" w14:textId="77777777" w:rsidR="007D7828" w:rsidRPr="00973AF7" w:rsidRDefault="007D7828" w:rsidP="007D7828">
            <w:pPr>
              <w:pStyle w:val="Initiativefigures"/>
              <w:keepNext/>
              <w:keepLines/>
            </w:pPr>
            <w:r w:rsidRPr="00973AF7">
              <w:t>2020-21</w:t>
            </w:r>
          </w:p>
          <w:p w14:paraId="3E705897"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77036C19" w14:textId="77777777" w:rsidR="007D7828" w:rsidRPr="00973AF7" w:rsidRDefault="007D7828" w:rsidP="007D7828">
            <w:pPr>
              <w:pStyle w:val="Initiativefigures"/>
              <w:keepNext/>
              <w:keepLines/>
            </w:pPr>
            <w:r w:rsidRPr="00973AF7">
              <w:t>2021-22</w:t>
            </w:r>
          </w:p>
          <w:p w14:paraId="5956F3B7"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77D09E66" w14:textId="77777777" w:rsidR="007D7828" w:rsidRPr="00973AF7" w:rsidRDefault="007D7828" w:rsidP="007D7828">
            <w:pPr>
              <w:pStyle w:val="Initiativefigures"/>
              <w:keepNext/>
              <w:keepLines/>
            </w:pPr>
            <w:r w:rsidRPr="00973AF7">
              <w:t>2022-23</w:t>
            </w:r>
          </w:p>
          <w:p w14:paraId="1959B6FA" w14:textId="77777777" w:rsidR="007D7828" w:rsidRPr="00973AF7" w:rsidRDefault="007D7828" w:rsidP="007D7828">
            <w:pPr>
              <w:pStyle w:val="Initiativefigures"/>
              <w:keepNext/>
              <w:keepLines/>
            </w:pPr>
            <w:r w:rsidRPr="00973AF7">
              <w:t>$’000</w:t>
            </w:r>
          </w:p>
        </w:tc>
        <w:tc>
          <w:tcPr>
            <w:tcW w:w="1302" w:type="dxa"/>
            <w:tcBorders>
              <w:bottom w:val="single" w:sz="4" w:space="0" w:color="auto"/>
            </w:tcBorders>
          </w:tcPr>
          <w:p w14:paraId="21CD5B7B" w14:textId="77777777" w:rsidR="007D7828" w:rsidRPr="00973AF7" w:rsidRDefault="007D7828" w:rsidP="007D7828">
            <w:pPr>
              <w:pStyle w:val="Initiativefigures"/>
              <w:keepNext/>
              <w:keepLines/>
              <w:rPr>
                <w:b/>
                <w:bCs/>
              </w:rPr>
            </w:pPr>
            <w:r w:rsidRPr="00973AF7">
              <w:rPr>
                <w:b/>
                <w:bCs/>
              </w:rPr>
              <w:t xml:space="preserve">Total </w:t>
            </w:r>
          </w:p>
          <w:p w14:paraId="5E3B3C2C" w14:textId="77777777" w:rsidR="007D7828" w:rsidRPr="00973AF7" w:rsidRDefault="007D7828" w:rsidP="007D7828">
            <w:pPr>
              <w:pStyle w:val="Initiativefigures"/>
              <w:keepNext/>
              <w:keepLines/>
              <w:rPr>
                <w:b/>
                <w:bCs/>
              </w:rPr>
            </w:pPr>
            <w:r w:rsidRPr="00973AF7">
              <w:rPr>
                <w:b/>
                <w:bCs/>
              </w:rPr>
              <w:t>$’000</w:t>
            </w:r>
          </w:p>
        </w:tc>
      </w:tr>
      <w:tr w:rsidR="007D7828" w:rsidRPr="00973AF7" w14:paraId="2E583B7E" w14:textId="77777777" w:rsidTr="007D7828">
        <w:tc>
          <w:tcPr>
            <w:tcW w:w="2510" w:type="dxa"/>
            <w:tcBorders>
              <w:bottom w:val="single" w:sz="4" w:space="0" w:color="auto"/>
            </w:tcBorders>
          </w:tcPr>
          <w:p w14:paraId="529F38FE" w14:textId="77777777" w:rsidR="007D7828" w:rsidRPr="00973AF7" w:rsidRDefault="007D7828" w:rsidP="007D7828">
            <w:pPr>
              <w:pStyle w:val="Initiativetext"/>
              <w:keepNext/>
              <w:keepLines/>
            </w:pPr>
            <w:r w:rsidRPr="00973AF7">
              <w:t>Expense</w:t>
            </w:r>
          </w:p>
        </w:tc>
        <w:tc>
          <w:tcPr>
            <w:tcW w:w="1301" w:type="dxa"/>
            <w:tcBorders>
              <w:bottom w:val="single" w:sz="4" w:space="0" w:color="auto"/>
            </w:tcBorders>
          </w:tcPr>
          <w:p w14:paraId="415A4735" w14:textId="77777777" w:rsidR="007D7828" w:rsidRPr="00973AF7" w:rsidRDefault="007D7828" w:rsidP="007D7828">
            <w:pPr>
              <w:pStyle w:val="Initiativefigures"/>
              <w:keepNext/>
              <w:keepLines/>
            </w:pPr>
            <w:r w:rsidRPr="00973AF7">
              <w:t>1,000</w:t>
            </w:r>
          </w:p>
        </w:tc>
        <w:tc>
          <w:tcPr>
            <w:tcW w:w="1301" w:type="dxa"/>
            <w:tcBorders>
              <w:bottom w:val="single" w:sz="4" w:space="0" w:color="auto"/>
            </w:tcBorders>
          </w:tcPr>
          <w:p w14:paraId="3F6A9B6A" w14:textId="77777777" w:rsidR="007D7828" w:rsidRPr="00973AF7" w:rsidRDefault="007D7828" w:rsidP="007D7828">
            <w:pPr>
              <w:pStyle w:val="Initiativefigures"/>
              <w:keepNext/>
              <w:keepLines/>
            </w:pPr>
            <w:r w:rsidRPr="00973AF7">
              <w:t>1,000</w:t>
            </w:r>
          </w:p>
        </w:tc>
        <w:tc>
          <w:tcPr>
            <w:tcW w:w="1301" w:type="dxa"/>
            <w:tcBorders>
              <w:bottom w:val="single" w:sz="4" w:space="0" w:color="auto"/>
            </w:tcBorders>
          </w:tcPr>
          <w:p w14:paraId="77D8FF35"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5AC37BF4" w14:textId="77777777" w:rsidR="007D7828" w:rsidRPr="00973AF7" w:rsidRDefault="007D7828" w:rsidP="007D7828">
            <w:pPr>
              <w:pStyle w:val="Initiativefigures"/>
              <w:keepNext/>
              <w:keepLines/>
            </w:pPr>
            <w:r w:rsidRPr="00973AF7">
              <w:t>0</w:t>
            </w:r>
          </w:p>
        </w:tc>
        <w:tc>
          <w:tcPr>
            <w:tcW w:w="1302" w:type="dxa"/>
            <w:tcBorders>
              <w:bottom w:val="single" w:sz="4" w:space="0" w:color="auto"/>
            </w:tcBorders>
          </w:tcPr>
          <w:p w14:paraId="18772878" w14:textId="77777777" w:rsidR="007D7828" w:rsidRPr="00973AF7" w:rsidRDefault="007D7828" w:rsidP="007D7828">
            <w:pPr>
              <w:pStyle w:val="Initiativefigures"/>
              <w:keepNext/>
              <w:keepLines/>
              <w:rPr>
                <w:b/>
                <w:bCs/>
              </w:rPr>
            </w:pPr>
            <w:r w:rsidRPr="00973AF7">
              <w:rPr>
                <w:b/>
                <w:bCs/>
              </w:rPr>
              <w:t>2,000</w:t>
            </w:r>
          </w:p>
        </w:tc>
      </w:tr>
    </w:tbl>
    <w:p w14:paraId="09EF1796" w14:textId="5E74F881" w:rsidR="007D7828" w:rsidRPr="00973AF7" w:rsidRDefault="007D7828" w:rsidP="007D7828">
      <w:pPr>
        <w:pStyle w:val="Bbodytext"/>
        <w:keepNext/>
        <w:keepLines/>
      </w:pPr>
      <w:r w:rsidRPr="00973AF7">
        <w:t xml:space="preserve">The Government </w:t>
      </w:r>
      <w:r w:rsidR="00EF1794">
        <w:t xml:space="preserve">is providing </w:t>
      </w:r>
      <w:r w:rsidRPr="00973AF7">
        <w:t>support for the Vocational Education and Training Sector by increasing subsidies for apprenticeships and traineeships to access nationally recognised training in areas linked to skills needs across a range of industries</w:t>
      </w:r>
      <w:r w:rsidR="00473880">
        <w:t xml:space="preserve">. </w:t>
      </w:r>
      <w:r w:rsidRPr="00973AF7">
        <w:t>Subsidies will be provided directly to Registered Training Organisations</w:t>
      </w:r>
      <w:r w:rsidR="00473880">
        <w:t xml:space="preserve">. </w:t>
      </w:r>
      <w:r w:rsidRPr="00973AF7" w:rsidDel="00FA6039">
        <w:t xml:space="preserve"> </w:t>
      </w:r>
    </w:p>
    <w:p w14:paraId="66F9B6D0" w14:textId="77777777" w:rsidR="007D7828" w:rsidRPr="00973AF7" w:rsidRDefault="007D7828" w:rsidP="007D7828">
      <w:pPr>
        <w:pStyle w:val="Heading3"/>
      </w:pPr>
      <w:r w:rsidRPr="00973AF7">
        <w:t xml:space="preserve">Automatic $750 Electricity rebates for small businesses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565D11C5" w14:textId="77777777" w:rsidTr="007D7828">
        <w:tc>
          <w:tcPr>
            <w:tcW w:w="2510" w:type="dxa"/>
            <w:tcBorders>
              <w:bottom w:val="single" w:sz="4" w:space="0" w:color="auto"/>
            </w:tcBorders>
          </w:tcPr>
          <w:p w14:paraId="14E73E74" w14:textId="77777777" w:rsidR="007D7828" w:rsidRPr="00973AF7" w:rsidRDefault="007D7828" w:rsidP="007D7828">
            <w:pPr>
              <w:pStyle w:val="Initiativefigures"/>
            </w:pPr>
            <w:bookmarkStart w:id="2" w:name="_Hlk43395684"/>
          </w:p>
        </w:tc>
        <w:tc>
          <w:tcPr>
            <w:tcW w:w="1301" w:type="dxa"/>
            <w:tcBorders>
              <w:bottom w:val="single" w:sz="4" w:space="0" w:color="auto"/>
            </w:tcBorders>
          </w:tcPr>
          <w:p w14:paraId="0653A968" w14:textId="77777777" w:rsidR="007D7828" w:rsidRPr="00973AF7" w:rsidRDefault="007D7828" w:rsidP="007D7828">
            <w:pPr>
              <w:pStyle w:val="Initiativefigures"/>
            </w:pPr>
            <w:r w:rsidRPr="00973AF7">
              <w:t>2019-20</w:t>
            </w:r>
          </w:p>
          <w:p w14:paraId="5296B646"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7ADB7DCF" w14:textId="77777777" w:rsidR="007D7828" w:rsidRPr="00973AF7" w:rsidRDefault="007D7828" w:rsidP="007D7828">
            <w:pPr>
              <w:pStyle w:val="Initiativefigures"/>
            </w:pPr>
            <w:r w:rsidRPr="00973AF7">
              <w:t>2020-21</w:t>
            </w:r>
          </w:p>
          <w:p w14:paraId="51765AFF"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448DB896" w14:textId="77777777" w:rsidR="007D7828" w:rsidRPr="00973AF7" w:rsidRDefault="007D7828" w:rsidP="007D7828">
            <w:pPr>
              <w:pStyle w:val="Initiativefigures"/>
            </w:pPr>
            <w:r w:rsidRPr="00973AF7">
              <w:t>2021-22</w:t>
            </w:r>
          </w:p>
          <w:p w14:paraId="0BEF2511"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706DB718" w14:textId="77777777" w:rsidR="007D7828" w:rsidRPr="00973AF7" w:rsidRDefault="007D7828" w:rsidP="007D7828">
            <w:pPr>
              <w:pStyle w:val="Initiativefigures"/>
            </w:pPr>
            <w:r w:rsidRPr="00973AF7">
              <w:t>2022-23</w:t>
            </w:r>
          </w:p>
          <w:p w14:paraId="3C15FD38" w14:textId="77777777" w:rsidR="007D7828" w:rsidRPr="00973AF7" w:rsidRDefault="007D7828" w:rsidP="007D7828">
            <w:pPr>
              <w:pStyle w:val="Initiativefigures"/>
            </w:pPr>
            <w:r w:rsidRPr="00973AF7">
              <w:t>$’000</w:t>
            </w:r>
          </w:p>
        </w:tc>
        <w:tc>
          <w:tcPr>
            <w:tcW w:w="1302" w:type="dxa"/>
            <w:tcBorders>
              <w:bottom w:val="single" w:sz="4" w:space="0" w:color="auto"/>
            </w:tcBorders>
          </w:tcPr>
          <w:p w14:paraId="32A01D98" w14:textId="77777777" w:rsidR="007D7828" w:rsidRPr="00973AF7" w:rsidRDefault="007D7828" w:rsidP="007D7828">
            <w:pPr>
              <w:pStyle w:val="Initiativefigures"/>
              <w:rPr>
                <w:b/>
                <w:bCs/>
              </w:rPr>
            </w:pPr>
            <w:r w:rsidRPr="00973AF7">
              <w:rPr>
                <w:b/>
                <w:bCs/>
              </w:rPr>
              <w:t xml:space="preserve">Total </w:t>
            </w:r>
          </w:p>
          <w:p w14:paraId="439C184D" w14:textId="77777777" w:rsidR="007D7828" w:rsidRPr="00973AF7" w:rsidRDefault="007D7828" w:rsidP="007D7828">
            <w:pPr>
              <w:pStyle w:val="Initiativefigures"/>
              <w:rPr>
                <w:b/>
                <w:bCs/>
              </w:rPr>
            </w:pPr>
            <w:r w:rsidRPr="00973AF7">
              <w:rPr>
                <w:b/>
                <w:bCs/>
              </w:rPr>
              <w:t>$’000</w:t>
            </w:r>
          </w:p>
        </w:tc>
      </w:tr>
      <w:bookmarkEnd w:id="2"/>
      <w:tr w:rsidR="007D7828" w:rsidRPr="00473880" w14:paraId="1F8CD92D" w14:textId="77777777" w:rsidTr="007D7828">
        <w:trPr>
          <w:trHeight w:val="176"/>
        </w:trPr>
        <w:tc>
          <w:tcPr>
            <w:tcW w:w="2510" w:type="dxa"/>
            <w:tcBorders>
              <w:bottom w:val="single" w:sz="4" w:space="0" w:color="auto"/>
            </w:tcBorders>
          </w:tcPr>
          <w:p w14:paraId="4B7F9D90" w14:textId="77777777" w:rsidR="007D7828" w:rsidRPr="00973AF7" w:rsidRDefault="007D7828" w:rsidP="007D7828">
            <w:pPr>
              <w:pStyle w:val="Initiativetext"/>
              <w:keepNext/>
              <w:keepLines/>
            </w:pPr>
            <w:r w:rsidRPr="00973AF7">
              <w:t>Expense</w:t>
            </w:r>
          </w:p>
        </w:tc>
        <w:tc>
          <w:tcPr>
            <w:tcW w:w="1301" w:type="dxa"/>
            <w:tcBorders>
              <w:bottom w:val="single" w:sz="4" w:space="0" w:color="auto"/>
            </w:tcBorders>
          </w:tcPr>
          <w:p w14:paraId="79CC85D6" w14:textId="77777777" w:rsidR="007D7828" w:rsidRPr="00973AF7" w:rsidRDefault="007D7828" w:rsidP="007D7828">
            <w:pPr>
              <w:pStyle w:val="Initiativefigures"/>
              <w:keepNext/>
              <w:keepLines/>
            </w:pPr>
            <w:r w:rsidRPr="00973AF7">
              <w:t>9,790</w:t>
            </w:r>
          </w:p>
        </w:tc>
        <w:tc>
          <w:tcPr>
            <w:tcW w:w="1301" w:type="dxa"/>
            <w:tcBorders>
              <w:bottom w:val="single" w:sz="4" w:space="0" w:color="auto"/>
            </w:tcBorders>
          </w:tcPr>
          <w:p w14:paraId="36374B7E"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0257F838"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03DA2ED9" w14:textId="77777777" w:rsidR="007D7828" w:rsidRPr="00973AF7" w:rsidRDefault="007D7828" w:rsidP="007D7828">
            <w:pPr>
              <w:pStyle w:val="Initiativefigures"/>
              <w:keepNext/>
              <w:keepLines/>
            </w:pPr>
            <w:r w:rsidRPr="00973AF7">
              <w:t>0</w:t>
            </w:r>
          </w:p>
        </w:tc>
        <w:tc>
          <w:tcPr>
            <w:tcW w:w="1302" w:type="dxa"/>
            <w:tcBorders>
              <w:bottom w:val="single" w:sz="4" w:space="0" w:color="auto"/>
            </w:tcBorders>
          </w:tcPr>
          <w:p w14:paraId="6443FEA5" w14:textId="77777777" w:rsidR="007D7828" w:rsidRPr="00473880" w:rsidRDefault="007D7828" w:rsidP="007D7828">
            <w:pPr>
              <w:pStyle w:val="Initiativefigures"/>
              <w:keepNext/>
              <w:keepLines/>
              <w:rPr>
                <w:b/>
                <w:bCs/>
              </w:rPr>
            </w:pPr>
            <w:r w:rsidRPr="00473880">
              <w:rPr>
                <w:b/>
                <w:bCs/>
              </w:rPr>
              <w:t>9,790</w:t>
            </w:r>
          </w:p>
        </w:tc>
      </w:tr>
    </w:tbl>
    <w:p w14:paraId="79744459" w14:textId="2AED7578" w:rsidR="007D7828" w:rsidRDefault="007D7828" w:rsidP="007D7828">
      <w:pPr>
        <w:pStyle w:val="Bbodytext"/>
      </w:pPr>
      <w:r w:rsidRPr="00973AF7">
        <w:t xml:space="preserve">Small </w:t>
      </w:r>
      <w:r w:rsidR="002B05D0">
        <w:t>businesses</w:t>
      </w:r>
      <w:r w:rsidRPr="00973AF7">
        <w:t xml:space="preserve"> with electricity usage below 100 megawatts per year will have rebates of $750 automatically applied to their next electricity bill in </w:t>
      </w:r>
      <w:r w:rsidR="002B05D0">
        <w:t xml:space="preserve">May, </w:t>
      </w:r>
      <w:r w:rsidRPr="00973AF7">
        <w:t>June or July 2020</w:t>
      </w:r>
      <w:r w:rsidR="00473880">
        <w:t xml:space="preserve">. </w:t>
      </w:r>
      <w:r w:rsidR="0030675B">
        <w:t>This will provide necessary cashflow support for small businesses.</w:t>
      </w:r>
    </w:p>
    <w:p w14:paraId="4279F86B" w14:textId="77777777" w:rsidR="007D7828" w:rsidRPr="00973AF7" w:rsidRDefault="007D7828" w:rsidP="007D7828">
      <w:pPr>
        <w:pStyle w:val="Heading3"/>
      </w:pPr>
      <w:r w:rsidRPr="00973AF7">
        <w:lastRenderedPageBreak/>
        <w:t xml:space="preserve">CIT IT investment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320AF0A7" w14:textId="77777777" w:rsidTr="007D7828">
        <w:tc>
          <w:tcPr>
            <w:tcW w:w="2510" w:type="dxa"/>
            <w:tcBorders>
              <w:bottom w:val="single" w:sz="4" w:space="0" w:color="auto"/>
            </w:tcBorders>
          </w:tcPr>
          <w:p w14:paraId="5C3C07E5" w14:textId="77777777" w:rsidR="007D7828" w:rsidRPr="00973AF7" w:rsidRDefault="007D7828" w:rsidP="007D7828">
            <w:pPr>
              <w:pStyle w:val="Initiativefigures"/>
              <w:keepNext/>
              <w:keepLines/>
            </w:pPr>
          </w:p>
        </w:tc>
        <w:tc>
          <w:tcPr>
            <w:tcW w:w="1301" w:type="dxa"/>
            <w:tcBorders>
              <w:bottom w:val="single" w:sz="4" w:space="0" w:color="auto"/>
            </w:tcBorders>
          </w:tcPr>
          <w:p w14:paraId="0607D308" w14:textId="77777777" w:rsidR="007D7828" w:rsidRPr="00973AF7" w:rsidRDefault="007D7828" w:rsidP="007D7828">
            <w:pPr>
              <w:pStyle w:val="Initiativefigures"/>
            </w:pPr>
            <w:r w:rsidRPr="00973AF7">
              <w:t>2019-20</w:t>
            </w:r>
          </w:p>
          <w:p w14:paraId="75379087"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6FB074D7" w14:textId="77777777" w:rsidR="007D7828" w:rsidRPr="00973AF7" w:rsidRDefault="007D7828" w:rsidP="007D7828">
            <w:pPr>
              <w:pStyle w:val="Initiativefigures"/>
            </w:pPr>
            <w:r w:rsidRPr="00973AF7">
              <w:t>2020-21</w:t>
            </w:r>
          </w:p>
          <w:p w14:paraId="5F7F483A"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3102B71B" w14:textId="77777777" w:rsidR="007D7828" w:rsidRPr="00973AF7" w:rsidRDefault="007D7828" w:rsidP="007D7828">
            <w:pPr>
              <w:pStyle w:val="Initiativefigures"/>
            </w:pPr>
            <w:r w:rsidRPr="00973AF7">
              <w:t>2021-22</w:t>
            </w:r>
          </w:p>
          <w:p w14:paraId="50375F13"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774734B0" w14:textId="77777777" w:rsidR="007D7828" w:rsidRPr="00973AF7" w:rsidRDefault="007D7828" w:rsidP="007D7828">
            <w:pPr>
              <w:pStyle w:val="Initiativefigures"/>
            </w:pPr>
            <w:r w:rsidRPr="00973AF7">
              <w:t>2022-23</w:t>
            </w:r>
          </w:p>
          <w:p w14:paraId="01BD4D83" w14:textId="77777777" w:rsidR="007D7828" w:rsidRPr="00973AF7" w:rsidRDefault="007D7828" w:rsidP="007D7828">
            <w:pPr>
              <w:pStyle w:val="Initiativefigures"/>
              <w:keepNext/>
              <w:keepLines/>
            </w:pPr>
            <w:r w:rsidRPr="00973AF7">
              <w:t>$’000</w:t>
            </w:r>
          </w:p>
        </w:tc>
        <w:tc>
          <w:tcPr>
            <w:tcW w:w="1302" w:type="dxa"/>
            <w:tcBorders>
              <w:bottom w:val="single" w:sz="4" w:space="0" w:color="auto"/>
            </w:tcBorders>
          </w:tcPr>
          <w:p w14:paraId="56533A95" w14:textId="77777777" w:rsidR="007D7828" w:rsidRPr="00973AF7" w:rsidRDefault="007D7828" w:rsidP="007D7828">
            <w:pPr>
              <w:pStyle w:val="Initiativefigures"/>
              <w:rPr>
                <w:b/>
                <w:bCs/>
              </w:rPr>
            </w:pPr>
            <w:r w:rsidRPr="00973AF7">
              <w:rPr>
                <w:b/>
                <w:bCs/>
              </w:rPr>
              <w:t xml:space="preserve">Total </w:t>
            </w:r>
          </w:p>
          <w:p w14:paraId="51FB5579" w14:textId="77777777" w:rsidR="007D7828" w:rsidRPr="00973AF7" w:rsidRDefault="007D7828" w:rsidP="007D7828">
            <w:pPr>
              <w:pStyle w:val="Initiativefigures"/>
              <w:keepNext/>
              <w:keepLines/>
              <w:rPr>
                <w:b/>
                <w:bCs/>
              </w:rPr>
            </w:pPr>
            <w:r w:rsidRPr="00973AF7">
              <w:rPr>
                <w:b/>
                <w:bCs/>
              </w:rPr>
              <w:t>$’000</w:t>
            </w:r>
          </w:p>
        </w:tc>
      </w:tr>
      <w:tr w:rsidR="007D7828" w:rsidRPr="00973AF7" w14:paraId="14313EEA" w14:textId="77777777" w:rsidTr="007D7828">
        <w:tc>
          <w:tcPr>
            <w:tcW w:w="2510" w:type="dxa"/>
            <w:tcBorders>
              <w:bottom w:val="single" w:sz="4" w:space="0" w:color="auto"/>
            </w:tcBorders>
          </w:tcPr>
          <w:p w14:paraId="68BF0D82" w14:textId="77777777" w:rsidR="007D7828" w:rsidRPr="00973AF7" w:rsidRDefault="007D7828" w:rsidP="007D7828">
            <w:pPr>
              <w:pStyle w:val="Initiativetext"/>
              <w:keepNext/>
              <w:keepLines/>
            </w:pPr>
            <w:r w:rsidRPr="00973AF7">
              <w:t>Expense</w:t>
            </w:r>
          </w:p>
        </w:tc>
        <w:tc>
          <w:tcPr>
            <w:tcW w:w="1301" w:type="dxa"/>
            <w:tcBorders>
              <w:bottom w:val="single" w:sz="4" w:space="0" w:color="auto"/>
            </w:tcBorders>
          </w:tcPr>
          <w:p w14:paraId="04762213" w14:textId="77777777" w:rsidR="007D7828" w:rsidRPr="00973AF7" w:rsidRDefault="007D7828" w:rsidP="007D7828">
            <w:pPr>
              <w:pStyle w:val="Initiativefigures"/>
              <w:keepNext/>
              <w:keepLines/>
            </w:pPr>
            <w:r w:rsidRPr="00973AF7">
              <w:t>800</w:t>
            </w:r>
          </w:p>
        </w:tc>
        <w:tc>
          <w:tcPr>
            <w:tcW w:w="1301" w:type="dxa"/>
            <w:tcBorders>
              <w:bottom w:val="single" w:sz="4" w:space="0" w:color="auto"/>
            </w:tcBorders>
          </w:tcPr>
          <w:p w14:paraId="4305F151" w14:textId="77777777" w:rsidR="007D7828" w:rsidRPr="00973AF7" w:rsidRDefault="007D7828" w:rsidP="007D7828">
            <w:pPr>
              <w:pStyle w:val="Initiativefigures"/>
              <w:keepNext/>
              <w:keepLines/>
            </w:pPr>
            <w:r w:rsidRPr="00973AF7">
              <w:t>195</w:t>
            </w:r>
          </w:p>
        </w:tc>
        <w:tc>
          <w:tcPr>
            <w:tcW w:w="1301" w:type="dxa"/>
            <w:tcBorders>
              <w:bottom w:val="single" w:sz="4" w:space="0" w:color="auto"/>
            </w:tcBorders>
          </w:tcPr>
          <w:p w14:paraId="56079607"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7C137011" w14:textId="77777777" w:rsidR="007D7828" w:rsidRPr="00973AF7" w:rsidRDefault="007D7828" w:rsidP="007D7828">
            <w:pPr>
              <w:pStyle w:val="Initiativefigures"/>
              <w:keepNext/>
              <w:keepLines/>
            </w:pPr>
            <w:r w:rsidRPr="00973AF7">
              <w:t>0</w:t>
            </w:r>
          </w:p>
        </w:tc>
        <w:tc>
          <w:tcPr>
            <w:tcW w:w="1302" w:type="dxa"/>
            <w:tcBorders>
              <w:bottom w:val="single" w:sz="4" w:space="0" w:color="auto"/>
            </w:tcBorders>
          </w:tcPr>
          <w:p w14:paraId="10BF411A" w14:textId="77777777" w:rsidR="007D7828" w:rsidRPr="00973AF7" w:rsidRDefault="007D7828" w:rsidP="007D7828">
            <w:pPr>
              <w:pStyle w:val="Initiativefigures"/>
              <w:keepNext/>
              <w:keepLines/>
              <w:rPr>
                <w:b/>
                <w:bCs/>
              </w:rPr>
            </w:pPr>
            <w:r w:rsidRPr="00973AF7">
              <w:rPr>
                <w:b/>
                <w:bCs/>
              </w:rPr>
              <w:t>995</w:t>
            </w:r>
          </w:p>
        </w:tc>
      </w:tr>
    </w:tbl>
    <w:p w14:paraId="404760E3" w14:textId="546194AF" w:rsidR="007D7828" w:rsidRPr="00973AF7" w:rsidRDefault="007D7828" w:rsidP="007D7828">
      <w:pPr>
        <w:pStyle w:val="Bbodytext"/>
        <w:keepNext/>
        <w:keepLines/>
      </w:pPr>
      <w:r w:rsidRPr="00973AF7">
        <w:t xml:space="preserve">The Government </w:t>
      </w:r>
      <w:r w:rsidR="002B05D0">
        <w:t>has</w:t>
      </w:r>
      <w:r w:rsidR="002B05D0" w:rsidRPr="00973AF7">
        <w:t xml:space="preserve"> </w:t>
      </w:r>
      <w:r w:rsidRPr="00973AF7">
        <w:t>fast track</w:t>
      </w:r>
      <w:r w:rsidR="002B05D0">
        <w:t>ed</w:t>
      </w:r>
      <w:r w:rsidRPr="00973AF7">
        <w:t xml:space="preserve"> CIT's ‘Study Work Anywhere Any Time’ IT project to enable CIT to move delivery of components of its teaching and learning online by July 2020</w:t>
      </w:r>
      <w:r w:rsidR="00473880">
        <w:t xml:space="preserve">. </w:t>
      </w:r>
      <w:r w:rsidRPr="00973AF7">
        <w:t>The expertise required to implement this project will be sourced from local SMEs, which will support the local industry and help keep high value technology skills in the region</w:t>
      </w:r>
      <w:r w:rsidR="00473880">
        <w:t xml:space="preserve">.  </w:t>
      </w:r>
    </w:p>
    <w:p w14:paraId="2BD83947" w14:textId="5B546482" w:rsidR="007D7828" w:rsidRPr="00973AF7" w:rsidRDefault="007D7828" w:rsidP="00877AFB">
      <w:pPr>
        <w:pStyle w:val="Heading3"/>
      </w:pPr>
      <w:r w:rsidRPr="00973AF7">
        <w:t xml:space="preserve">City Centre Marketing and Improvements Levy </w:t>
      </w:r>
      <w:r w:rsidR="00877AFB">
        <w:t>–</w:t>
      </w:r>
      <w:r w:rsidRPr="00973AF7">
        <w:t xml:space="preserve"> 50 per cent reduction</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1F731C5A" w14:textId="77777777" w:rsidTr="00FA7DC7">
        <w:tc>
          <w:tcPr>
            <w:tcW w:w="2510" w:type="dxa"/>
            <w:tcBorders>
              <w:bottom w:val="single" w:sz="4" w:space="0" w:color="auto"/>
            </w:tcBorders>
          </w:tcPr>
          <w:p w14:paraId="211A3422" w14:textId="77777777" w:rsidR="007D7828" w:rsidRPr="00973AF7" w:rsidRDefault="007D7828" w:rsidP="00877AFB">
            <w:pPr>
              <w:pStyle w:val="Initiativefigures"/>
              <w:keepNext/>
              <w:keepLines/>
            </w:pPr>
          </w:p>
        </w:tc>
        <w:tc>
          <w:tcPr>
            <w:tcW w:w="1301" w:type="dxa"/>
            <w:tcBorders>
              <w:bottom w:val="single" w:sz="4" w:space="0" w:color="auto"/>
            </w:tcBorders>
          </w:tcPr>
          <w:p w14:paraId="054EBFF1" w14:textId="77777777" w:rsidR="007D7828" w:rsidRPr="00973AF7" w:rsidRDefault="007D7828" w:rsidP="00877AFB">
            <w:pPr>
              <w:pStyle w:val="Initiativefigures"/>
              <w:keepNext/>
              <w:keepLines/>
            </w:pPr>
            <w:r w:rsidRPr="00973AF7">
              <w:t>2019-20</w:t>
            </w:r>
          </w:p>
          <w:p w14:paraId="39262DE2" w14:textId="77777777" w:rsidR="007D7828" w:rsidRPr="00973AF7" w:rsidRDefault="007D7828" w:rsidP="00877AFB">
            <w:pPr>
              <w:pStyle w:val="Initiativefigures"/>
              <w:keepNext/>
              <w:keepLines/>
            </w:pPr>
            <w:r w:rsidRPr="00973AF7">
              <w:t>$’000</w:t>
            </w:r>
          </w:p>
        </w:tc>
        <w:tc>
          <w:tcPr>
            <w:tcW w:w="1301" w:type="dxa"/>
            <w:tcBorders>
              <w:bottom w:val="single" w:sz="4" w:space="0" w:color="auto"/>
            </w:tcBorders>
          </w:tcPr>
          <w:p w14:paraId="08BB0CD3" w14:textId="77777777" w:rsidR="007D7828" w:rsidRPr="00973AF7" w:rsidRDefault="007D7828" w:rsidP="00877AFB">
            <w:pPr>
              <w:pStyle w:val="Initiativefigures"/>
              <w:keepNext/>
              <w:keepLines/>
            </w:pPr>
            <w:r w:rsidRPr="00973AF7">
              <w:t>2020-21</w:t>
            </w:r>
          </w:p>
          <w:p w14:paraId="0AE7A657" w14:textId="77777777" w:rsidR="007D7828" w:rsidRPr="00973AF7" w:rsidRDefault="007D7828" w:rsidP="00877AFB">
            <w:pPr>
              <w:pStyle w:val="Initiativefigures"/>
              <w:keepNext/>
              <w:keepLines/>
            </w:pPr>
            <w:r w:rsidRPr="00973AF7">
              <w:t>$’000</w:t>
            </w:r>
          </w:p>
        </w:tc>
        <w:tc>
          <w:tcPr>
            <w:tcW w:w="1301" w:type="dxa"/>
            <w:tcBorders>
              <w:bottom w:val="single" w:sz="4" w:space="0" w:color="auto"/>
            </w:tcBorders>
          </w:tcPr>
          <w:p w14:paraId="73E5071B" w14:textId="77777777" w:rsidR="007D7828" w:rsidRPr="00973AF7" w:rsidRDefault="007D7828" w:rsidP="00877AFB">
            <w:pPr>
              <w:pStyle w:val="Initiativefigures"/>
              <w:keepNext/>
              <w:keepLines/>
            </w:pPr>
            <w:r w:rsidRPr="00973AF7">
              <w:t>2021-22</w:t>
            </w:r>
          </w:p>
          <w:p w14:paraId="344E9D28" w14:textId="77777777" w:rsidR="007D7828" w:rsidRPr="00973AF7" w:rsidRDefault="007D7828" w:rsidP="00877AFB">
            <w:pPr>
              <w:pStyle w:val="Initiativefigures"/>
              <w:keepNext/>
              <w:keepLines/>
            </w:pPr>
            <w:r w:rsidRPr="00973AF7">
              <w:t>$’000</w:t>
            </w:r>
          </w:p>
        </w:tc>
        <w:tc>
          <w:tcPr>
            <w:tcW w:w="1301" w:type="dxa"/>
            <w:tcBorders>
              <w:bottom w:val="single" w:sz="4" w:space="0" w:color="auto"/>
            </w:tcBorders>
          </w:tcPr>
          <w:p w14:paraId="46EFD53B" w14:textId="77777777" w:rsidR="007D7828" w:rsidRPr="00973AF7" w:rsidRDefault="007D7828" w:rsidP="00877AFB">
            <w:pPr>
              <w:pStyle w:val="Initiativefigures"/>
              <w:keepNext/>
              <w:keepLines/>
            </w:pPr>
            <w:r w:rsidRPr="00973AF7">
              <w:t>2022-23</w:t>
            </w:r>
          </w:p>
          <w:p w14:paraId="79D42022" w14:textId="77777777" w:rsidR="007D7828" w:rsidRPr="00973AF7" w:rsidRDefault="007D7828" w:rsidP="00877AFB">
            <w:pPr>
              <w:pStyle w:val="Initiativefigures"/>
              <w:keepNext/>
              <w:keepLines/>
            </w:pPr>
            <w:r w:rsidRPr="00973AF7">
              <w:t>$’000</w:t>
            </w:r>
          </w:p>
        </w:tc>
        <w:tc>
          <w:tcPr>
            <w:tcW w:w="1302" w:type="dxa"/>
            <w:tcBorders>
              <w:bottom w:val="single" w:sz="4" w:space="0" w:color="auto"/>
            </w:tcBorders>
          </w:tcPr>
          <w:p w14:paraId="59E1A12D" w14:textId="77777777" w:rsidR="007D7828" w:rsidRPr="00973AF7" w:rsidRDefault="007D7828" w:rsidP="00877AFB">
            <w:pPr>
              <w:pStyle w:val="Initiativefigures"/>
              <w:keepNext/>
              <w:keepLines/>
              <w:rPr>
                <w:b/>
                <w:bCs/>
              </w:rPr>
            </w:pPr>
            <w:r w:rsidRPr="00973AF7">
              <w:rPr>
                <w:b/>
                <w:bCs/>
              </w:rPr>
              <w:t xml:space="preserve">Total </w:t>
            </w:r>
          </w:p>
          <w:p w14:paraId="3FF119AF" w14:textId="77777777" w:rsidR="007D7828" w:rsidRPr="00973AF7" w:rsidRDefault="007D7828" w:rsidP="00877AFB">
            <w:pPr>
              <w:pStyle w:val="Initiativefigures"/>
              <w:keepNext/>
              <w:keepLines/>
              <w:rPr>
                <w:b/>
                <w:bCs/>
              </w:rPr>
            </w:pPr>
            <w:r w:rsidRPr="00973AF7">
              <w:rPr>
                <w:b/>
                <w:bCs/>
              </w:rPr>
              <w:t>$’000</w:t>
            </w:r>
          </w:p>
        </w:tc>
      </w:tr>
      <w:tr w:rsidR="007D7828" w:rsidRPr="00973AF7" w14:paraId="754BC3AE" w14:textId="77777777" w:rsidTr="00FA7DC7">
        <w:tc>
          <w:tcPr>
            <w:tcW w:w="2510" w:type="dxa"/>
            <w:tcBorders>
              <w:bottom w:val="nil"/>
            </w:tcBorders>
          </w:tcPr>
          <w:p w14:paraId="1E137101" w14:textId="77777777" w:rsidR="007D7828" w:rsidRPr="00973AF7" w:rsidRDefault="007D7828" w:rsidP="00877AFB">
            <w:pPr>
              <w:pStyle w:val="Initiativetext"/>
              <w:keepNext/>
              <w:keepLines/>
            </w:pPr>
            <w:r w:rsidRPr="00973AF7">
              <w:t>Revenue forgone</w:t>
            </w:r>
          </w:p>
        </w:tc>
        <w:tc>
          <w:tcPr>
            <w:tcW w:w="1301" w:type="dxa"/>
            <w:tcBorders>
              <w:bottom w:val="nil"/>
            </w:tcBorders>
          </w:tcPr>
          <w:p w14:paraId="6AE2F1B4" w14:textId="77777777" w:rsidR="007D7828" w:rsidRPr="00973AF7" w:rsidRDefault="007D7828" w:rsidP="00877AFB">
            <w:pPr>
              <w:pStyle w:val="Initiativefigures"/>
              <w:keepNext/>
              <w:keepLines/>
            </w:pPr>
            <w:r w:rsidRPr="00973AF7">
              <w:t>0</w:t>
            </w:r>
          </w:p>
        </w:tc>
        <w:tc>
          <w:tcPr>
            <w:tcW w:w="1301" w:type="dxa"/>
            <w:tcBorders>
              <w:bottom w:val="nil"/>
            </w:tcBorders>
          </w:tcPr>
          <w:p w14:paraId="1F5F6507" w14:textId="77777777" w:rsidR="007D7828" w:rsidRPr="00973AF7" w:rsidRDefault="007D7828" w:rsidP="00877AFB">
            <w:pPr>
              <w:pStyle w:val="Initiativefigures"/>
              <w:keepNext/>
              <w:keepLines/>
            </w:pPr>
            <w:r w:rsidRPr="00973AF7">
              <w:t>950</w:t>
            </w:r>
          </w:p>
        </w:tc>
        <w:tc>
          <w:tcPr>
            <w:tcW w:w="1301" w:type="dxa"/>
            <w:tcBorders>
              <w:bottom w:val="nil"/>
            </w:tcBorders>
          </w:tcPr>
          <w:p w14:paraId="29B380E8" w14:textId="77777777" w:rsidR="007D7828" w:rsidRPr="00973AF7" w:rsidRDefault="007D7828" w:rsidP="00877AFB">
            <w:pPr>
              <w:pStyle w:val="Initiativefigures"/>
              <w:keepNext/>
              <w:keepLines/>
            </w:pPr>
            <w:r w:rsidRPr="00973AF7">
              <w:t>0</w:t>
            </w:r>
          </w:p>
        </w:tc>
        <w:tc>
          <w:tcPr>
            <w:tcW w:w="1301" w:type="dxa"/>
            <w:tcBorders>
              <w:bottom w:val="nil"/>
            </w:tcBorders>
          </w:tcPr>
          <w:p w14:paraId="66650312" w14:textId="77777777" w:rsidR="007D7828" w:rsidRPr="00973AF7" w:rsidRDefault="007D7828" w:rsidP="00877AFB">
            <w:pPr>
              <w:pStyle w:val="Initiativefigures"/>
              <w:keepNext/>
              <w:keepLines/>
            </w:pPr>
            <w:r w:rsidRPr="00973AF7">
              <w:t>0</w:t>
            </w:r>
          </w:p>
        </w:tc>
        <w:tc>
          <w:tcPr>
            <w:tcW w:w="1302" w:type="dxa"/>
            <w:tcBorders>
              <w:bottom w:val="nil"/>
            </w:tcBorders>
          </w:tcPr>
          <w:p w14:paraId="4C33AB9F" w14:textId="77777777" w:rsidR="007D7828" w:rsidRPr="00973AF7" w:rsidRDefault="007D7828" w:rsidP="00877AFB">
            <w:pPr>
              <w:pStyle w:val="Initiativefigures"/>
              <w:keepNext/>
              <w:keepLines/>
              <w:rPr>
                <w:b/>
                <w:bCs/>
              </w:rPr>
            </w:pPr>
            <w:r w:rsidRPr="00973AF7">
              <w:rPr>
                <w:b/>
                <w:bCs/>
              </w:rPr>
              <w:t>950</w:t>
            </w:r>
          </w:p>
        </w:tc>
      </w:tr>
      <w:tr w:rsidR="0052231E" w:rsidRPr="00973AF7" w14:paraId="1CECA706" w14:textId="77777777" w:rsidTr="00FA7DC7">
        <w:tc>
          <w:tcPr>
            <w:tcW w:w="2510" w:type="dxa"/>
            <w:tcBorders>
              <w:top w:val="nil"/>
            </w:tcBorders>
          </w:tcPr>
          <w:p w14:paraId="5C466ABF" w14:textId="7B7C6984" w:rsidR="0052231E" w:rsidRPr="00973AF7" w:rsidRDefault="0052231E" w:rsidP="00877AFB">
            <w:pPr>
              <w:pStyle w:val="Initiativetext"/>
              <w:keepNext/>
              <w:keepLines/>
            </w:pPr>
            <w:r>
              <w:t xml:space="preserve">Offset </w:t>
            </w:r>
            <w:r w:rsidRPr="00973AF7">
              <w:t>–</w:t>
            </w:r>
            <w:r>
              <w:t xml:space="preserve"> expense</w:t>
            </w:r>
          </w:p>
        </w:tc>
        <w:tc>
          <w:tcPr>
            <w:tcW w:w="1301" w:type="dxa"/>
            <w:tcBorders>
              <w:top w:val="nil"/>
            </w:tcBorders>
          </w:tcPr>
          <w:p w14:paraId="147A07BE" w14:textId="0653DBE4" w:rsidR="0052231E" w:rsidRPr="00973AF7" w:rsidRDefault="00FA7DC7" w:rsidP="00877AFB">
            <w:pPr>
              <w:pStyle w:val="Initiativefigures"/>
              <w:keepNext/>
              <w:keepLines/>
            </w:pPr>
            <w:r>
              <w:t>0</w:t>
            </w:r>
          </w:p>
        </w:tc>
        <w:tc>
          <w:tcPr>
            <w:tcW w:w="1301" w:type="dxa"/>
            <w:tcBorders>
              <w:top w:val="nil"/>
            </w:tcBorders>
          </w:tcPr>
          <w:p w14:paraId="2887BC26" w14:textId="7DE25306" w:rsidR="0052231E" w:rsidRPr="00973AF7" w:rsidRDefault="00FA7DC7" w:rsidP="00877AFB">
            <w:pPr>
              <w:pStyle w:val="Initiativefigures"/>
              <w:keepNext/>
              <w:keepLines/>
            </w:pPr>
            <w:r>
              <w:t>-950</w:t>
            </w:r>
          </w:p>
        </w:tc>
        <w:tc>
          <w:tcPr>
            <w:tcW w:w="1301" w:type="dxa"/>
            <w:tcBorders>
              <w:top w:val="nil"/>
            </w:tcBorders>
          </w:tcPr>
          <w:p w14:paraId="7A49B327" w14:textId="6E980A88" w:rsidR="0052231E" w:rsidRPr="00973AF7" w:rsidRDefault="00FA7DC7" w:rsidP="00877AFB">
            <w:pPr>
              <w:pStyle w:val="Initiativefigures"/>
              <w:keepNext/>
              <w:keepLines/>
            </w:pPr>
            <w:r>
              <w:t>0</w:t>
            </w:r>
          </w:p>
        </w:tc>
        <w:tc>
          <w:tcPr>
            <w:tcW w:w="1301" w:type="dxa"/>
            <w:tcBorders>
              <w:top w:val="nil"/>
            </w:tcBorders>
          </w:tcPr>
          <w:p w14:paraId="786AC598" w14:textId="59D8FF43" w:rsidR="0052231E" w:rsidRPr="00973AF7" w:rsidRDefault="00FA7DC7" w:rsidP="00877AFB">
            <w:pPr>
              <w:pStyle w:val="Initiativefigures"/>
              <w:keepNext/>
              <w:keepLines/>
            </w:pPr>
            <w:r>
              <w:t>0</w:t>
            </w:r>
          </w:p>
        </w:tc>
        <w:tc>
          <w:tcPr>
            <w:tcW w:w="1302" w:type="dxa"/>
            <w:tcBorders>
              <w:top w:val="nil"/>
            </w:tcBorders>
          </w:tcPr>
          <w:p w14:paraId="332B3DBF" w14:textId="2F4F89DC" w:rsidR="0052231E" w:rsidRPr="00877AFB" w:rsidRDefault="00FA7DC7" w:rsidP="00877AFB">
            <w:pPr>
              <w:pStyle w:val="Initiativefigures"/>
              <w:keepNext/>
              <w:keepLines/>
              <w:rPr>
                <w:b/>
                <w:bCs/>
              </w:rPr>
            </w:pPr>
            <w:r w:rsidRPr="00877AFB">
              <w:rPr>
                <w:b/>
                <w:bCs/>
              </w:rPr>
              <w:t>-950</w:t>
            </w:r>
          </w:p>
        </w:tc>
      </w:tr>
    </w:tbl>
    <w:p w14:paraId="769EF101" w14:textId="7F5D4882" w:rsidR="007D7828" w:rsidRPr="00973AF7" w:rsidRDefault="007D7828" w:rsidP="00877AFB">
      <w:pPr>
        <w:pStyle w:val="Bbodytext"/>
        <w:keepNext/>
        <w:keepLines/>
      </w:pPr>
      <w:r w:rsidRPr="00973AF7">
        <w:t xml:space="preserve">The Government will reduce the </w:t>
      </w:r>
      <w:r w:rsidRPr="00973AF7">
        <w:rPr>
          <w:bCs/>
        </w:rPr>
        <w:t>City Centre Marketing and Improvements Levy (CCMIL) by 50 per cent in 2020-21, with the balance of the payment deferred until February 2021</w:t>
      </w:r>
      <w:r w:rsidR="00473880">
        <w:rPr>
          <w:bCs/>
        </w:rPr>
        <w:t xml:space="preserve">. </w:t>
      </w:r>
      <w:r w:rsidRPr="00973AF7">
        <w:rPr>
          <w:bCs/>
        </w:rPr>
        <w:t xml:space="preserve">The CCMIL is applied to all rateable commercial properties </w:t>
      </w:r>
      <w:r w:rsidR="002B05D0">
        <w:rPr>
          <w:bCs/>
        </w:rPr>
        <w:t xml:space="preserve">(more than 600) </w:t>
      </w:r>
      <w:r w:rsidRPr="00973AF7">
        <w:rPr>
          <w:bCs/>
        </w:rPr>
        <w:t>in the City</w:t>
      </w:r>
      <w:r w:rsidR="002B05D0">
        <w:rPr>
          <w:bCs/>
        </w:rPr>
        <w:t xml:space="preserve">, Braddon and </w:t>
      </w:r>
      <w:r w:rsidR="002B05D0" w:rsidRPr="002A18F2">
        <w:rPr>
          <w:bCs/>
        </w:rPr>
        <w:t>New Acton</w:t>
      </w:r>
      <w:r w:rsidR="00473880">
        <w:rPr>
          <w:bCs/>
        </w:rPr>
        <w:t xml:space="preserve">. </w:t>
      </w:r>
    </w:p>
    <w:p w14:paraId="3167F02D" w14:textId="77777777" w:rsidR="007D7828" w:rsidRPr="00973AF7" w:rsidRDefault="007D7828" w:rsidP="007D7828">
      <w:pPr>
        <w:pStyle w:val="Heading3"/>
        <w:rPr>
          <w:bCs/>
        </w:rPr>
      </w:pPr>
      <w:r w:rsidRPr="00973AF7">
        <w:t xml:space="preserve">Commercial rates – delay of issuance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2FAF390A" w14:textId="77777777" w:rsidTr="00473880">
        <w:tc>
          <w:tcPr>
            <w:tcW w:w="2510" w:type="dxa"/>
            <w:tcBorders>
              <w:bottom w:val="single" w:sz="4" w:space="0" w:color="auto"/>
            </w:tcBorders>
          </w:tcPr>
          <w:p w14:paraId="7B75AE09" w14:textId="77777777" w:rsidR="007D7828" w:rsidRPr="00973AF7" w:rsidRDefault="007D7828" w:rsidP="007D7828">
            <w:pPr>
              <w:pStyle w:val="Initiativefigures"/>
            </w:pPr>
            <w:bookmarkStart w:id="3" w:name="_Hlk40776075"/>
          </w:p>
        </w:tc>
        <w:tc>
          <w:tcPr>
            <w:tcW w:w="1301" w:type="dxa"/>
            <w:tcBorders>
              <w:bottom w:val="single" w:sz="4" w:space="0" w:color="auto"/>
            </w:tcBorders>
          </w:tcPr>
          <w:p w14:paraId="6CA2783E" w14:textId="77777777" w:rsidR="007D7828" w:rsidRPr="00973AF7" w:rsidRDefault="007D7828" w:rsidP="007D7828">
            <w:pPr>
              <w:pStyle w:val="Initiativefigures"/>
            </w:pPr>
            <w:r w:rsidRPr="00973AF7">
              <w:t>2019-20</w:t>
            </w:r>
          </w:p>
          <w:p w14:paraId="2FEBCECC"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04692DB9" w14:textId="77777777" w:rsidR="007D7828" w:rsidRPr="00973AF7" w:rsidRDefault="007D7828" w:rsidP="007D7828">
            <w:pPr>
              <w:pStyle w:val="Initiativefigures"/>
            </w:pPr>
            <w:r w:rsidRPr="00973AF7">
              <w:t>2020-21</w:t>
            </w:r>
          </w:p>
          <w:p w14:paraId="520BBBDE"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27330D31" w14:textId="77777777" w:rsidR="007D7828" w:rsidRPr="00973AF7" w:rsidRDefault="007D7828" w:rsidP="007D7828">
            <w:pPr>
              <w:pStyle w:val="Initiativefigures"/>
            </w:pPr>
            <w:r w:rsidRPr="00973AF7">
              <w:t>2021-22</w:t>
            </w:r>
          </w:p>
          <w:p w14:paraId="6C8DC699"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1608C575" w14:textId="77777777" w:rsidR="007D7828" w:rsidRPr="00973AF7" w:rsidRDefault="007D7828" w:rsidP="007D7828">
            <w:pPr>
              <w:pStyle w:val="Initiativefigures"/>
            </w:pPr>
            <w:r w:rsidRPr="00973AF7">
              <w:t>2022-23</w:t>
            </w:r>
          </w:p>
          <w:p w14:paraId="698BE64E" w14:textId="77777777" w:rsidR="007D7828" w:rsidRPr="00973AF7" w:rsidRDefault="007D7828" w:rsidP="007D7828">
            <w:pPr>
              <w:pStyle w:val="Initiativefigures"/>
            </w:pPr>
            <w:r w:rsidRPr="00973AF7">
              <w:t>$’000</w:t>
            </w:r>
          </w:p>
        </w:tc>
        <w:tc>
          <w:tcPr>
            <w:tcW w:w="1302" w:type="dxa"/>
            <w:tcBorders>
              <w:bottom w:val="single" w:sz="4" w:space="0" w:color="auto"/>
            </w:tcBorders>
          </w:tcPr>
          <w:p w14:paraId="370F1F25" w14:textId="77777777" w:rsidR="007D7828" w:rsidRPr="00973AF7" w:rsidRDefault="007D7828" w:rsidP="007D7828">
            <w:pPr>
              <w:pStyle w:val="Initiativefigures"/>
              <w:rPr>
                <w:b/>
                <w:bCs/>
              </w:rPr>
            </w:pPr>
            <w:r w:rsidRPr="00973AF7">
              <w:rPr>
                <w:b/>
                <w:bCs/>
              </w:rPr>
              <w:t xml:space="preserve">Total </w:t>
            </w:r>
          </w:p>
          <w:p w14:paraId="5A2A9BFE" w14:textId="77777777" w:rsidR="007D7828" w:rsidRPr="00973AF7" w:rsidRDefault="007D7828" w:rsidP="007D7828">
            <w:pPr>
              <w:pStyle w:val="Initiativefigures"/>
              <w:rPr>
                <w:b/>
                <w:bCs/>
              </w:rPr>
            </w:pPr>
            <w:r w:rsidRPr="00973AF7">
              <w:rPr>
                <w:b/>
                <w:bCs/>
              </w:rPr>
              <w:t>$’000</w:t>
            </w:r>
          </w:p>
        </w:tc>
      </w:tr>
      <w:tr w:rsidR="007D7828" w:rsidRPr="00973AF7" w14:paraId="3E6302BC" w14:textId="77777777" w:rsidTr="007D7828">
        <w:tc>
          <w:tcPr>
            <w:tcW w:w="2510" w:type="dxa"/>
          </w:tcPr>
          <w:p w14:paraId="702BFF55" w14:textId="77777777" w:rsidR="007D7828" w:rsidRPr="00973AF7" w:rsidRDefault="007D7828" w:rsidP="007D7828">
            <w:pPr>
              <w:pStyle w:val="Initiativetext"/>
            </w:pPr>
            <w:r w:rsidRPr="00973AF7">
              <w:t>Expense</w:t>
            </w:r>
          </w:p>
        </w:tc>
        <w:tc>
          <w:tcPr>
            <w:tcW w:w="1301" w:type="dxa"/>
          </w:tcPr>
          <w:p w14:paraId="62EF63C0" w14:textId="77777777" w:rsidR="007D7828" w:rsidRPr="00973AF7" w:rsidRDefault="007D7828" w:rsidP="007D7828">
            <w:pPr>
              <w:pStyle w:val="Initiativefigures"/>
            </w:pPr>
            <w:r w:rsidRPr="00973AF7">
              <w:t>0</w:t>
            </w:r>
          </w:p>
        </w:tc>
        <w:tc>
          <w:tcPr>
            <w:tcW w:w="1301" w:type="dxa"/>
          </w:tcPr>
          <w:p w14:paraId="14D2B0F7" w14:textId="77777777" w:rsidR="007D7828" w:rsidRPr="00973AF7" w:rsidRDefault="007D7828" w:rsidP="007D7828">
            <w:pPr>
              <w:pStyle w:val="Initiativefigures"/>
            </w:pPr>
            <w:r w:rsidRPr="00973AF7">
              <w:t>0</w:t>
            </w:r>
          </w:p>
        </w:tc>
        <w:tc>
          <w:tcPr>
            <w:tcW w:w="1301" w:type="dxa"/>
          </w:tcPr>
          <w:p w14:paraId="71DBC300" w14:textId="77777777" w:rsidR="007D7828" w:rsidRPr="00973AF7" w:rsidRDefault="007D7828" w:rsidP="007D7828">
            <w:pPr>
              <w:pStyle w:val="Initiativefigures"/>
            </w:pPr>
            <w:r w:rsidRPr="00973AF7">
              <w:t>0</w:t>
            </w:r>
          </w:p>
        </w:tc>
        <w:tc>
          <w:tcPr>
            <w:tcW w:w="1301" w:type="dxa"/>
          </w:tcPr>
          <w:p w14:paraId="16D4DDF3" w14:textId="77777777" w:rsidR="007D7828" w:rsidRPr="00973AF7" w:rsidRDefault="007D7828" w:rsidP="007D7828">
            <w:pPr>
              <w:pStyle w:val="Initiativefigures"/>
            </w:pPr>
            <w:r w:rsidRPr="00973AF7">
              <w:t>0</w:t>
            </w:r>
          </w:p>
        </w:tc>
        <w:tc>
          <w:tcPr>
            <w:tcW w:w="1302" w:type="dxa"/>
          </w:tcPr>
          <w:p w14:paraId="7F536BFF" w14:textId="77777777" w:rsidR="007D7828" w:rsidRPr="00973AF7" w:rsidRDefault="007D7828" w:rsidP="007D7828">
            <w:pPr>
              <w:pStyle w:val="Initiativefigures"/>
              <w:rPr>
                <w:b/>
                <w:bCs/>
              </w:rPr>
            </w:pPr>
            <w:r w:rsidRPr="00973AF7">
              <w:rPr>
                <w:b/>
                <w:bCs/>
              </w:rPr>
              <w:t>0</w:t>
            </w:r>
          </w:p>
        </w:tc>
      </w:tr>
    </w:tbl>
    <w:bookmarkEnd w:id="3"/>
    <w:p w14:paraId="776CABC1" w14:textId="7C0517D2" w:rsidR="007D7828" w:rsidRPr="00973AF7" w:rsidRDefault="007D7828" w:rsidP="007D7828">
      <w:pPr>
        <w:pStyle w:val="Bbodytext"/>
      </w:pPr>
      <w:r w:rsidRPr="00973AF7">
        <w:t xml:space="preserve">The Government </w:t>
      </w:r>
      <w:r w:rsidR="00EF1794">
        <w:t>is deferring</w:t>
      </w:r>
      <w:r w:rsidRPr="00973AF7">
        <w:t xml:space="preserve"> </w:t>
      </w:r>
      <w:r w:rsidR="0030675B">
        <w:t xml:space="preserve">the </w:t>
      </w:r>
      <w:r w:rsidRPr="00973AF7">
        <w:t>issuance of rates notices for the fourth quarter instalments of the 2019-20 commercial rates by four weeks</w:t>
      </w:r>
      <w:r w:rsidR="00473880">
        <w:t xml:space="preserve">. </w:t>
      </w:r>
      <w:r w:rsidR="00EF1794" w:rsidRPr="00973AF7">
        <w:t xml:space="preserve">These will be </w:t>
      </w:r>
      <w:r w:rsidR="00EF1794">
        <w:t xml:space="preserve">then </w:t>
      </w:r>
      <w:r w:rsidR="00EF1794" w:rsidRPr="00973AF7">
        <w:t xml:space="preserve">due a month later than the usual </w:t>
      </w:r>
      <w:r w:rsidR="00EF1794">
        <w:t xml:space="preserve">due </w:t>
      </w:r>
      <w:r w:rsidR="00EF1794" w:rsidRPr="00973AF7">
        <w:t>date</w:t>
      </w:r>
      <w:r w:rsidR="00EF1794">
        <w:t>,</w:t>
      </w:r>
      <w:r w:rsidR="00EF1794" w:rsidRPr="00973AF7">
        <w:t xml:space="preserve"> </w:t>
      </w:r>
      <w:r w:rsidRPr="00973AF7">
        <w:t>provid</w:t>
      </w:r>
      <w:r w:rsidR="00EF1794">
        <w:t>ing</w:t>
      </w:r>
      <w:r w:rsidRPr="00973AF7">
        <w:t xml:space="preserve"> </w:t>
      </w:r>
      <w:r w:rsidR="002B05D0">
        <w:t xml:space="preserve">significant </w:t>
      </w:r>
      <w:r w:rsidRPr="00973AF7">
        <w:t>immediate cash flow assistance to commercial property owners</w:t>
      </w:r>
      <w:r w:rsidR="00473880">
        <w:t xml:space="preserve">.  </w:t>
      </w:r>
    </w:p>
    <w:p w14:paraId="32DA09EA" w14:textId="77777777" w:rsidR="007D7828" w:rsidRPr="00973AF7" w:rsidRDefault="007D7828" w:rsidP="007D7828">
      <w:pPr>
        <w:pStyle w:val="Heading3"/>
      </w:pPr>
      <w:r w:rsidRPr="00973AF7">
        <w:lastRenderedPageBreak/>
        <w:t>Commercial rates – fixed charge rebate and 2020-21 settings</w:t>
      </w:r>
    </w:p>
    <w:tbl>
      <w:tblPr>
        <w:tblStyle w:val="TableGrid"/>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228"/>
        <w:gridCol w:w="1392"/>
        <w:gridCol w:w="1392"/>
        <w:gridCol w:w="1392"/>
        <w:gridCol w:w="1393"/>
        <w:gridCol w:w="1229"/>
      </w:tblGrid>
      <w:tr w:rsidR="007D7828" w:rsidRPr="00973AF7" w14:paraId="5A8E96CA" w14:textId="77777777" w:rsidTr="007D7828">
        <w:tc>
          <w:tcPr>
            <w:tcW w:w="2228" w:type="dxa"/>
          </w:tcPr>
          <w:p w14:paraId="71BB189E" w14:textId="77777777" w:rsidR="007D7828" w:rsidRPr="00973AF7" w:rsidRDefault="007D7828" w:rsidP="007D7828">
            <w:pPr>
              <w:pStyle w:val="Initiativefigures"/>
              <w:keepNext/>
              <w:keepLines/>
            </w:pPr>
          </w:p>
        </w:tc>
        <w:tc>
          <w:tcPr>
            <w:tcW w:w="1392" w:type="dxa"/>
          </w:tcPr>
          <w:p w14:paraId="31AC5199" w14:textId="77777777" w:rsidR="007D7828" w:rsidRPr="00973AF7" w:rsidRDefault="007D7828" w:rsidP="007D7828">
            <w:pPr>
              <w:pStyle w:val="Initiativefigures"/>
              <w:keepNext/>
              <w:keepLines/>
            </w:pPr>
            <w:r w:rsidRPr="00973AF7">
              <w:t>2019-20</w:t>
            </w:r>
          </w:p>
          <w:p w14:paraId="3AC31926" w14:textId="77777777" w:rsidR="007D7828" w:rsidRPr="00973AF7" w:rsidRDefault="007D7828" w:rsidP="007D7828">
            <w:pPr>
              <w:pStyle w:val="Initiativefigures"/>
              <w:keepNext/>
              <w:keepLines/>
            </w:pPr>
            <w:r w:rsidRPr="00973AF7">
              <w:t>$’000</w:t>
            </w:r>
          </w:p>
        </w:tc>
        <w:tc>
          <w:tcPr>
            <w:tcW w:w="1392" w:type="dxa"/>
          </w:tcPr>
          <w:p w14:paraId="69A893FB" w14:textId="77777777" w:rsidR="007D7828" w:rsidRPr="00973AF7" w:rsidRDefault="007D7828" w:rsidP="007D7828">
            <w:pPr>
              <w:pStyle w:val="Initiativefigures"/>
              <w:keepNext/>
              <w:keepLines/>
            </w:pPr>
            <w:r w:rsidRPr="00973AF7">
              <w:t>2020-21</w:t>
            </w:r>
          </w:p>
          <w:p w14:paraId="0341E179" w14:textId="77777777" w:rsidR="007D7828" w:rsidRPr="00973AF7" w:rsidRDefault="007D7828" w:rsidP="007D7828">
            <w:pPr>
              <w:pStyle w:val="Initiativefigures"/>
              <w:keepNext/>
              <w:keepLines/>
            </w:pPr>
            <w:r w:rsidRPr="00973AF7">
              <w:t>$’000</w:t>
            </w:r>
          </w:p>
        </w:tc>
        <w:tc>
          <w:tcPr>
            <w:tcW w:w="1392" w:type="dxa"/>
          </w:tcPr>
          <w:p w14:paraId="117397E8" w14:textId="77777777" w:rsidR="007D7828" w:rsidRPr="00973AF7" w:rsidRDefault="007D7828" w:rsidP="007D7828">
            <w:pPr>
              <w:pStyle w:val="Initiativefigures"/>
              <w:keepNext/>
              <w:keepLines/>
            </w:pPr>
            <w:r w:rsidRPr="00973AF7">
              <w:t>2021-22</w:t>
            </w:r>
          </w:p>
          <w:p w14:paraId="1A97548F" w14:textId="77777777" w:rsidR="007D7828" w:rsidRPr="00973AF7" w:rsidRDefault="007D7828" w:rsidP="007D7828">
            <w:pPr>
              <w:pStyle w:val="Initiativefigures"/>
              <w:keepNext/>
              <w:keepLines/>
            </w:pPr>
            <w:r w:rsidRPr="00973AF7">
              <w:t>$’000</w:t>
            </w:r>
          </w:p>
        </w:tc>
        <w:tc>
          <w:tcPr>
            <w:tcW w:w="1393" w:type="dxa"/>
          </w:tcPr>
          <w:p w14:paraId="3A93C20C" w14:textId="77777777" w:rsidR="007D7828" w:rsidRPr="00973AF7" w:rsidRDefault="007D7828" w:rsidP="007D7828">
            <w:pPr>
              <w:pStyle w:val="Initiativefigures"/>
              <w:keepNext/>
              <w:keepLines/>
            </w:pPr>
            <w:r w:rsidRPr="00973AF7">
              <w:t>2022-23</w:t>
            </w:r>
          </w:p>
          <w:p w14:paraId="518826DE" w14:textId="77777777" w:rsidR="007D7828" w:rsidRPr="00973AF7" w:rsidRDefault="007D7828" w:rsidP="007D7828">
            <w:pPr>
              <w:pStyle w:val="Initiativefigures"/>
              <w:keepNext/>
              <w:keepLines/>
            </w:pPr>
            <w:r w:rsidRPr="00973AF7">
              <w:t>$’000</w:t>
            </w:r>
          </w:p>
        </w:tc>
        <w:tc>
          <w:tcPr>
            <w:tcW w:w="1229" w:type="dxa"/>
          </w:tcPr>
          <w:p w14:paraId="6F47EAB0" w14:textId="77777777" w:rsidR="007D7828" w:rsidRPr="00973AF7" w:rsidRDefault="007D7828" w:rsidP="007D7828">
            <w:pPr>
              <w:pStyle w:val="Initiativefigures"/>
              <w:keepNext/>
              <w:keepLines/>
              <w:rPr>
                <w:b/>
                <w:bCs/>
              </w:rPr>
            </w:pPr>
            <w:r w:rsidRPr="00973AF7">
              <w:rPr>
                <w:b/>
                <w:bCs/>
              </w:rPr>
              <w:t xml:space="preserve">Total </w:t>
            </w:r>
          </w:p>
          <w:p w14:paraId="35034C30" w14:textId="77777777" w:rsidR="007D7828" w:rsidRPr="00973AF7" w:rsidRDefault="007D7828" w:rsidP="007D7828">
            <w:pPr>
              <w:pStyle w:val="Initiativefigures"/>
              <w:keepNext/>
              <w:keepLines/>
              <w:rPr>
                <w:b/>
                <w:bCs/>
              </w:rPr>
            </w:pPr>
            <w:r w:rsidRPr="00973AF7">
              <w:rPr>
                <w:b/>
                <w:bCs/>
              </w:rPr>
              <w:t>$’000</w:t>
            </w:r>
          </w:p>
        </w:tc>
      </w:tr>
      <w:tr w:rsidR="007D7828" w:rsidRPr="00973AF7" w14:paraId="3C937DFC" w14:textId="77777777" w:rsidTr="007D7828">
        <w:tc>
          <w:tcPr>
            <w:tcW w:w="2228" w:type="dxa"/>
          </w:tcPr>
          <w:p w14:paraId="2B3BBCEB" w14:textId="77777777" w:rsidR="007D7828" w:rsidRPr="00973AF7" w:rsidRDefault="007D7828" w:rsidP="007D7828">
            <w:pPr>
              <w:pStyle w:val="Initiativetext"/>
              <w:keepNext/>
              <w:keepLines/>
            </w:pPr>
            <w:r w:rsidRPr="00973AF7">
              <w:t>Revenue forgone</w:t>
            </w:r>
          </w:p>
        </w:tc>
        <w:tc>
          <w:tcPr>
            <w:tcW w:w="1392" w:type="dxa"/>
          </w:tcPr>
          <w:p w14:paraId="2DCB4EAD" w14:textId="77777777" w:rsidR="007D7828" w:rsidRPr="00973AF7" w:rsidRDefault="007D7828" w:rsidP="007D7828">
            <w:pPr>
              <w:pStyle w:val="Initiativefigures"/>
              <w:keepNext/>
              <w:keepLines/>
            </w:pPr>
            <w:r w:rsidRPr="00973AF7">
              <w:t>16,200</w:t>
            </w:r>
          </w:p>
        </w:tc>
        <w:tc>
          <w:tcPr>
            <w:tcW w:w="1392" w:type="dxa"/>
          </w:tcPr>
          <w:p w14:paraId="6B960B60" w14:textId="77777777" w:rsidR="007D7828" w:rsidRPr="00973AF7" w:rsidRDefault="007D7828" w:rsidP="007D7828">
            <w:pPr>
              <w:pStyle w:val="Initiativefigures"/>
              <w:keepNext/>
              <w:keepLines/>
            </w:pPr>
            <w:r w:rsidRPr="00973AF7">
              <w:t>6,872</w:t>
            </w:r>
          </w:p>
        </w:tc>
        <w:tc>
          <w:tcPr>
            <w:tcW w:w="1392" w:type="dxa"/>
          </w:tcPr>
          <w:p w14:paraId="763F5B7B" w14:textId="77777777" w:rsidR="007D7828" w:rsidRPr="00973AF7" w:rsidRDefault="007D7828" w:rsidP="007D7828">
            <w:pPr>
              <w:pStyle w:val="Initiativefigures"/>
              <w:keepNext/>
              <w:keepLines/>
            </w:pPr>
            <w:r w:rsidRPr="00973AF7">
              <w:t>7,285</w:t>
            </w:r>
          </w:p>
        </w:tc>
        <w:tc>
          <w:tcPr>
            <w:tcW w:w="1393" w:type="dxa"/>
          </w:tcPr>
          <w:p w14:paraId="77A57664" w14:textId="77777777" w:rsidR="007D7828" w:rsidRPr="00973AF7" w:rsidRDefault="007D7828" w:rsidP="007D7828">
            <w:pPr>
              <w:pStyle w:val="Initiativefigures"/>
              <w:keepNext/>
              <w:keepLines/>
            </w:pPr>
            <w:r w:rsidRPr="00973AF7">
              <w:t>7,722</w:t>
            </w:r>
          </w:p>
        </w:tc>
        <w:tc>
          <w:tcPr>
            <w:tcW w:w="1229" w:type="dxa"/>
          </w:tcPr>
          <w:p w14:paraId="21BBCC25" w14:textId="77777777" w:rsidR="007D7828" w:rsidRPr="00973AF7" w:rsidRDefault="007D7828" w:rsidP="007D7828">
            <w:pPr>
              <w:pStyle w:val="Initiativefigures"/>
              <w:keepNext/>
              <w:keepLines/>
              <w:rPr>
                <w:b/>
                <w:bCs/>
              </w:rPr>
            </w:pPr>
            <w:r w:rsidRPr="00973AF7">
              <w:rPr>
                <w:b/>
                <w:bCs/>
              </w:rPr>
              <w:t>38,079</w:t>
            </w:r>
          </w:p>
        </w:tc>
      </w:tr>
    </w:tbl>
    <w:p w14:paraId="1052F06F" w14:textId="57AF871C" w:rsidR="00473880" w:rsidRDefault="007D7828" w:rsidP="007D7828">
      <w:pPr>
        <w:pStyle w:val="Bbodytext"/>
        <w:keepNext/>
        <w:keepLines/>
      </w:pPr>
      <w:r w:rsidRPr="00973AF7">
        <w:t xml:space="preserve">The Government </w:t>
      </w:r>
      <w:r w:rsidR="00EF1794">
        <w:t>is providing</w:t>
      </w:r>
      <w:r w:rsidRPr="00973AF7">
        <w:t xml:space="preserve"> owners of commercial property with an Average Unimproved Value (AUV) of $2 million or less a </w:t>
      </w:r>
      <w:r w:rsidR="002B05D0">
        <w:t xml:space="preserve">full </w:t>
      </w:r>
      <w:r w:rsidRPr="00973AF7">
        <w:t>rebate on their commercial rates fixed charge for the 2019</w:t>
      </w:r>
      <w:r w:rsidRPr="00973AF7">
        <w:noBreakHyphen/>
        <w:t>20 financial year</w:t>
      </w:r>
      <w:r w:rsidR="00473880">
        <w:t>.</w:t>
      </w:r>
      <w:r w:rsidRPr="00973AF7">
        <w:t xml:space="preserve"> The credit of $2,622 (equivalent to the annual fixed charge) </w:t>
      </w:r>
      <w:r w:rsidR="00EF1794">
        <w:t>is being</w:t>
      </w:r>
      <w:r w:rsidR="00EF1794" w:rsidRPr="00973AF7">
        <w:t xml:space="preserve"> </w:t>
      </w:r>
      <w:r w:rsidRPr="00973AF7">
        <w:t>automatically applied to the fourth quarter bill of 2019-20</w:t>
      </w:r>
      <w:r w:rsidR="00473880">
        <w:t xml:space="preserve">. </w:t>
      </w:r>
    </w:p>
    <w:p w14:paraId="34B50338" w14:textId="20014595" w:rsidR="007D7828" w:rsidRPr="00973AF7" w:rsidRDefault="007D7828" w:rsidP="007D7828">
      <w:pPr>
        <w:pStyle w:val="Bbodytext"/>
        <w:keepNext/>
        <w:keepLines/>
      </w:pPr>
      <w:r w:rsidRPr="00973AF7">
        <w:t>The Government is also setting the average increase for commercial properties with an AUV of $2 million or less at 0 per cent</w:t>
      </w:r>
      <w:r w:rsidR="00473880">
        <w:t>.</w:t>
      </w:r>
      <w:r w:rsidRPr="00973AF7">
        <w:t xml:space="preserve"> This means that no additional general rates revenue will be collected from this group of properties, but</w:t>
      </w:r>
      <w:r w:rsidR="002B05D0">
        <w:t xml:space="preserve"> individual</w:t>
      </w:r>
      <w:r w:rsidRPr="00973AF7">
        <w:t xml:space="preserve"> rates will change in line with changes in land values</w:t>
      </w:r>
      <w:r w:rsidR="00473880">
        <w:t xml:space="preserve">. </w:t>
      </w:r>
      <w:r w:rsidRPr="00973AF7">
        <w:t>General rates for around 4,600 commercial properties will be lower than in 2019-20</w:t>
      </w:r>
      <w:r w:rsidR="00473880">
        <w:t xml:space="preserve">. </w:t>
      </w:r>
    </w:p>
    <w:p w14:paraId="1F493917" w14:textId="4731EA45" w:rsidR="007D7828" w:rsidRPr="00973AF7" w:rsidRDefault="007D7828" w:rsidP="007D7828">
      <w:pPr>
        <w:pStyle w:val="Bbodytext"/>
        <w:keepLines/>
      </w:pPr>
      <w:r w:rsidRPr="00973AF7">
        <w:t xml:space="preserve">In addition, the Government will freeze the </w:t>
      </w:r>
      <w:r w:rsidRPr="00973AF7">
        <w:rPr>
          <w:rFonts w:cstheme="minorHAnsi"/>
        </w:rPr>
        <w:t>2020-21 Fire and Emergency Services Levy at the 2019</w:t>
      </w:r>
      <w:r w:rsidRPr="00973AF7">
        <w:rPr>
          <w:rFonts w:cstheme="minorHAnsi"/>
        </w:rPr>
        <w:noBreakHyphen/>
        <w:t xml:space="preserve">20 amount (refer to the </w:t>
      </w:r>
      <w:r w:rsidRPr="00973AF7">
        <w:rPr>
          <w:i/>
        </w:rPr>
        <w:t>One-year freeze on growth of Fire and Emergency Services Levy</w:t>
      </w:r>
      <w:r w:rsidRPr="00973AF7">
        <w:t xml:space="preserve"> initiative for further information)</w:t>
      </w:r>
      <w:r w:rsidR="00473880">
        <w:t xml:space="preserve">. </w:t>
      </w:r>
    </w:p>
    <w:p w14:paraId="1BB6A776" w14:textId="33EDE971" w:rsidR="007D7828" w:rsidRPr="00973AF7" w:rsidRDefault="007D7828" w:rsidP="009C357F">
      <w:pPr>
        <w:pStyle w:val="Heading3"/>
        <w:keepNext w:val="0"/>
        <w:keepLines w:val="0"/>
      </w:pPr>
      <w:r w:rsidRPr="00973AF7">
        <w:t>Commercial rates</w:t>
      </w:r>
      <w:r w:rsidR="00175EE2" w:rsidRPr="00973AF7">
        <w:t xml:space="preserve"> – </w:t>
      </w:r>
      <w:r w:rsidRPr="00973AF7">
        <w:t>hardship deferrals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74475E6D" w14:textId="77777777" w:rsidTr="007D7828">
        <w:tc>
          <w:tcPr>
            <w:tcW w:w="2510" w:type="dxa"/>
          </w:tcPr>
          <w:p w14:paraId="49430BD8" w14:textId="77777777" w:rsidR="007D7828" w:rsidRPr="00973AF7" w:rsidRDefault="007D7828" w:rsidP="009C357F">
            <w:pPr>
              <w:pStyle w:val="Initiativefigures"/>
            </w:pPr>
          </w:p>
        </w:tc>
        <w:tc>
          <w:tcPr>
            <w:tcW w:w="1301" w:type="dxa"/>
          </w:tcPr>
          <w:p w14:paraId="2C2A3D3B" w14:textId="77777777" w:rsidR="007D7828" w:rsidRPr="00973AF7" w:rsidRDefault="007D7828" w:rsidP="009C357F">
            <w:pPr>
              <w:pStyle w:val="Initiativefigures"/>
            </w:pPr>
            <w:r w:rsidRPr="00973AF7">
              <w:t>2019-20</w:t>
            </w:r>
          </w:p>
          <w:p w14:paraId="6B7BB927" w14:textId="77777777" w:rsidR="007D7828" w:rsidRPr="00973AF7" w:rsidRDefault="007D7828" w:rsidP="009C357F">
            <w:pPr>
              <w:pStyle w:val="Initiativefigures"/>
            </w:pPr>
            <w:r w:rsidRPr="00973AF7">
              <w:t>$’000</w:t>
            </w:r>
          </w:p>
        </w:tc>
        <w:tc>
          <w:tcPr>
            <w:tcW w:w="1301" w:type="dxa"/>
          </w:tcPr>
          <w:p w14:paraId="047AFA44" w14:textId="77777777" w:rsidR="007D7828" w:rsidRPr="00973AF7" w:rsidRDefault="007D7828" w:rsidP="009C357F">
            <w:pPr>
              <w:pStyle w:val="Initiativefigures"/>
            </w:pPr>
            <w:r w:rsidRPr="00973AF7">
              <w:t>2020-21</w:t>
            </w:r>
          </w:p>
          <w:p w14:paraId="7CDFC829" w14:textId="77777777" w:rsidR="007D7828" w:rsidRPr="00973AF7" w:rsidRDefault="007D7828" w:rsidP="009C357F">
            <w:pPr>
              <w:pStyle w:val="Initiativefigures"/>
            </w:pPr>
            <w:r w:rsidRPr="00973AF7">
              <w:t>$’000</w:t>
            </w:r>
          </w:p>
        </w:tc>
        <w:tc>
          <w:tcPr>
            <w:tcW w:w="1301" w:type="dxa"/>
          </w:tcPr>
          <w:p w14:paraId="300EB559" w14:textId="77777777" w:rsidR="007D7828" w:rsidRPr="00973AF7" w:rsidRDefault="007D7828" w:rsidP="009C357F">
            <w:pPr>
              <w:pStyle w:val="Initiativefigures"/>
            </w:pPr>
            <w:r w:rsidRPr="00973AF7">
              <w:t>2021-22</w:t>
            </w:r>
          </w:p>
          <w:p w14:paraId="3F4FD2E7" w14:textId="77777777" w:rsidR="007D7828" w:rsidRPr="00973AF7" w:rsidRDefault="007D7828" w:rsidP="009C357F">
            <w:pPr>
              <w:pStyle w:val="Initiativefigures"/>
            </w:pPr>
            <w:r w:rsidRPr="00973AF7">
              <w:t>$’000</w:t>
            </w:r>
          </w:p>
        </w:tc>
        <w:tc>
          <w:tcPr>
            <w:tcW w:w="1301" w:type="dxa"/>
          </w:tcPr>
          <w:p w14:paraId="745AAAE7" w14:textId="77777777" w:rsidR="007D7828" w:rsidRPr="00973AF7" w:rsidRDefault="007D7828" w:rsidP="009C357F">
            <w:pPr>
              <w:pStyle w:val="Initiativefigures"/>
            </w:pPr>
            <w:r w:rsidRPr="00973AF7">
              <w:t>2022-23</w:t>
            </w:r>
          </w:p>
          <w:p w14:paraId="555B4898" w14:textId="77777777" w:rsidR="007D7828" w:rsidRPr="00973AF7" w:rsidRDefault="007D7828" w:rsidP="009C357F">
            <w:pPr>
              <w:pStyle w:val="Initiativefigures"/>
            </w:pPr>
            <w:r w:rsidRPr="00973AF7">
              <w:t>$’000</w:t>
            </w:r>
          </w:p>
        </w:tc>
        <w:tc>
          <w:tcPr>
            <w:tcW w:w="1302" w:type="dxa"/>
          </w:tcPr>
          <w:p w14:paraId="29FCBF9E" w14:textId="77777777" w:rsidR="007D7828" w:rsidRPr="00973AF7" w:rsidRDefault="007D7828" w:rsidP="009C357F">
            <w:pPr>
              <w:pStyle w:val="Initiativefigures"/>
              <w:rPr>
                <w:b/>
                <w:bCs/>
              </w:rPr>
            </w:pPr>
            <w:r w:rsidRPr="00973AF7">
              <w:rPr>
                <w:b/>
                <w:bCs/>
              </w:rPr>
              <w:t xml:space="preserve">Total </w:t>
            </w:r>
          </w:p>
          <w:p w14:paraId="604FE66A" w14:textId="77777777" w:rsidR="007D7828" w:rsidRPr="00973AF7" w:rsidRDefault="007D7828" w:rsidP="009C357F">
            <w:pPr>
              <w:pStyle w:val="Initiativefigures"/>
              <w:rPr>
                <w:b/>
                <w:bCs/>
              </w:rPr>
            </w:pPr>
            <w:r w:rsidRPr="00973AF7">
              <w:rPr>
                <w:b/>
                <w:bCs/>
              </w:rPr>
              <w:t>$’000</w:t>
            </w:r>
          </w:p>
        </w:tc>
      </w:tr>
      <w:tr w:rsidR="007D7828" w:rsidRPr="00973AF7" w14:paraId="005D727D" w14:textId="77777777" w:rsidTr="007D7828">
        <w:tc>
          <w:tcPr>
            <w:tcW w:w="2510" w:type="dxa"/>
          </w:tcPr>
          <w:p w14:paraId="70FE6758" w14:textId="77777777" w:rsidR="007D7828" w:rsidRPr="00973AF7" w:rsidRDefault="007D7828" w:rsidP="009C357F">
            <w:pPr>
              <w:pStyle w:val="Initiativetext"/>
            </w:pPr>
            <w:r w:rsidRPr="00973AF7">
              <w:t>Expense</w:t>
            </w:r>
          </w:p>
        </w:tc>
        <w:tc>
          <w:tcPr>
            <w:tcW w:w="1301" w:type="dxa"/>
          </w:tcPr>
          <w:p w14:paraId="6ACF7C99" w14:textId="5A0A3CBF" w:rsidR="007D7828" w:rsidRPr="00973AF7" w:rsidRDefault="00A509ED" w:rsidP="009C357F">
            <w:pPr>
              <w:pStyle w:val="Initiativefigures"/>
            </w:pPr>
            <w:r>
              <w:t>~</w:t>
            </w:r>
          </w:p>
        </w:tc>
        <w:tc>
          <w:tcPr>
            <w:tcW w:w="1301" w:type="dxa"/>
          </w:tcPr>
          <w:p w14:paraId="34EBED7F" w14:textId="28966F88" w:rsidR="007D7828" w:rsidRPr="00973AF7" w:rsidRDefault="00A509ED" w:rsidP="009C357F">
            <w:pPr>
              <w:pStyle w:val="Initiativefigures"/>
            </w:pPr>
            <w:r>
              <w:t>~</w:t>
            </w:r>
          </w:p>
        </w:tc>
        <w:tc>
          <w:tcPr>
            <w:tcW w:w="1301" w:type="dxa"/>
          </w:tcPr>
          <w:p w14:paraId="5A02FAF9" w14:textId="77777777" w:rsidR="007D7828" w:rsidRPr="00973AF7" w:rsidRDefault="007D7828" w:rsidP="009C357F">
            <w:pPr>
              <w:pStyle w:val="Initiativefigures"/>
            </w:pPr>
            <w:r w:rsidRPr="00973AF7">
              <w:t>0</w:t>
            </w:r>
          </w:p>
        </w:tc>
        <w:tc>
          <w:tcPr>
            <w:tcW w:w="1301" w:type="dxa"/>
          </w:tcPr>
          <w:p w14:paraId="3F631A7E" w14:textId="77777777" w:rsidR="007D7828" w:rsidRPr="00973AF7" w:rsidRDefault="007D7828" w:rsidP="009C357F">
            <w:pPr>
              <w:pStyle w:val="Initiativefigures"/>
            </w:pPr>
            <w:r w:rsidRPr="00973AF7">
              <w:t>0</w:t>
            </w:r>
          </w:p>
        </w:tc>
        <w:tc>
          <w:tcPr>
            <w:tcW w:w="1302" w:type="dxa"/>
          </w:tcPr>
          <w:p w14:paraId="57FC2D29" w14:textId="23769E82" w:rsidR="007D7828" w:rsidRPr="00973AF7" w:rsidRDefault="00A509ED" w:rsidP="009C357F">
            <w:pPr>
              <w:pStyle w:val="Initiativefigures"/>
              <w:rPr>
                <w:b/>
                <w:bCs/>
              </w:rPr>
            </w:pPr>
            <w:r>
              <w:rPr>
                <w:b/>
                <w:bCs/>
              </w:rPr>
              <w:t>~</w:t>
            </w:r>
          </w:p>
        </w:tc>
      </w:tr>
    </w:tbl>
    <w:p w14:paraId="1BFDCACD" w14:textId="3B2DA51A" w:rsidR="007D7828" w:rsidRPr="00973AF7" w:rsidRDefault="007D7828" w:rsidP="009C357F">
      <w:pPr>
        <w:pStyle w:val="Bbodytext"/>
      </w:pPr>
      <w:r w:rsidRPr="00973AF7">
        <w:t xml:space="preserve">The Government </w:t>
      </w:r>
      <w:r w:rsidR="00AA24AA">
        <w:t>is</w:t>
      </w:r>
      <w:r w:rsidRPr="00973AF7">
        <w:t xml:space="preserve"> </w:t>
      </w:r>
      <w:r w:rsidR="002B05D0">
        <w:t>support</w:t>
      </w:r>
      <w:r w:rsidR="00AA24AA">
        <w:t>ing</w:t>
      </w:r>
      <w:r w:rsidR="002B05D0" w:rsidRPr="00973AF7">
        <w:t xml:space="preserve"> </w:t>
      </w:r>
      <w:r w:rsidRPr="00973AF7">
        <w:t>commercial property owners who have been significantly affected by COVID-19 to apply to the ACT Revenue Office to defer their rates charges up to October 2020</w:t>
      </w:r>
      <w:r w:rsidR="00473880">
        <w:t xml:space="preserve">. </w:t>
      </w:r>
      <w:r w:rsidRPr="00973AF7">
        <w:t>No interest will be charged on the deferred amount</w:t>
      </w:r>
      <w:r w:rsidR="00473880">
        <w:t xml:space="preserve">.  </w:t>
      </w:r>
    </w:p>
    <w:p w14:paraId="7259E673" w14:textId="07DA5E73" w:rsidR="007D7828" w:rsidRPr="00973AF7" w:rsidRDefault="007D7828" w:rsidP="009C357F">
      <w:pPr>
        <w:pStyle w:val="Bbodytext"/>
      </w:pPr>
      <w:r w:rsidRPr="00973AF7">
        <w:rPr>
          <w:rFonts w:cstheme="minorHAnsi"/>
        </w:rPr>
        <w:t xml:space="preserve">Property owners who are experiencing financial hardship can apply by sending an email to </w:t>
      </w:r>
      <w:hyperlink r:id="rId14" w:history="1">
        <w:r w:rsidR="009C357F" w:rsidRPr="0064601D">
          <w:rPr>
            <w:rStyle w:val="Hyperlink"/>
            <w:rFonts w:eastAsia="Times New Roman" w:cstheme="minorHAnsi"/>
            <w:lang w:eastAsia="en-AU"/>
          </w:rPr>
          <w:t>debtmanagement@act.gov.au</w:t>
        </w:r>
      </w:hyperlink>
      <w:r w:rsidR="00473880">
        <w:rPr>
          <w:rStyle w:val="Hyperlink"/>
          <w:rFonts w:eastAsia="Times New Roman" w:cstheme="minorHAnsi"/>
          <w:lang w:eastAsia="en-AU"/>
        </w:rPr>
        <w:t>.</w:t>
      </w:r>
    </w:p>
    <w:p w14:paraId="215B6CDC" w14:textId="77777777" w:rsidR="007D7828" w:rsidRPr="00973AF7" w:rsidRDefault="007D7828" w:rsidP="007D7828">
      <w:pPr>
        <w:pStyle w:val="Heading3"/>
      </w:pPr>
      <w:r w:rsidRPr="00973AF7">
        <w:lastRenderedPageBreak/>
        <w:t>Commercial rates – rental relief and owner-occupier rebate scheme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25804262" w14:textId="77777777" w:rsidTr="007D7828">
        <w:tc>
          <w:tcPr>
            <w:tcW w:w="2510" w:type="dxa"/>
          </w:tcPr>
          <w:p w14:paraId="4B6BEDFE" w14:textId="77777777" w:rsidR="007D7828" w:rsidRPr="00973AF7" w:rsidRDefault="007D7828" w:rsidP="007D7828">
            <w:pPr>
              <w:pStyle w:val="Initiativefigures"/>
              <w:keepNext/>
              <w:keepLines/>
            </w:pPr>
          </w:p>
        </w:tc>
        <w:tc>
          <w:tcPr>
            <w:tcW w:w="1301" w:type="dxa"/>
          </w:tcPr>
          <w:p w14:paraId="0695FA5A" w14:textId="77777777" w:rsidR="007D7828" w:rsidRPr="00973AF7" w:rsidRDefault="007D7828" w:rsidP="007D7828">
            <w:pPr>
              <w:pStyle w:val="Initiativefigures"/>
              <w:keepNext/>
              <w:keepLines/>
            </w:pPr>
            <w:r w:rsidRPr="00973AF7">
              <w:t>2019-20</w:t>
            </w:r>
          </w:p>
          <w:p w14:paraId="42B1F057" w14:textId="77777777" w:rsidR="007D7828" w:rsidRPr="00973AF7" w:rsidRDefault="007D7828" w:rsidP="007D7828">
            <w:pPr>
              <w:pStyle w:val="Initiativefigures"/>
              <w:keepNext/>
              <w:keepLines/>
            </w:pPr>
            <w:r w:rsidRPr="00973AF7">
              <w:t>$’000</w:t>
            </w:r>
          </w:p>
        </w:tc>
        <w:tc>
          <w:tcPr>
            <w:tcW w:w="1301" w:type="dxa"/>
          </w:tcPr>
          <w:p w14:paraId="3F5E0270" w14:textId="77777777" w:rsidR="007D7828" w:rsidRPr="00973AF7" w:rsidRDefault="007D7828" w:rsidP="007D7828">
            <w:pPr>
              <w:pStyle w:val="Initiativefigures"/>
              <w:keepNext/>
              <w:keepLines/>
            </w:pPr>
            <w:r w:rsidRPr="00973AF7">
              <w:t>2020-21</w:t>
            </w:r>
          </w:p>
          <w:p w14:paraId="14904B72" w14:textId="77777777" w:rsidR="007D7828" w:rsidRPr="00973AF7" w:rsidRDefault="007D7828" w:rsidP="007D7828">
            <w:pPr>
              <w:pStyle w:val="Initiativefigures"/>
              <w:keepNext/>
              <w:keepLines/>
            </w:pPr>
            <w:r w:rsidRPr="00973AF7">
              <w:t>$’000</w:t>
            </w:r>
          </w:p>
        </w:tc>
        <w:tc>
          <w:tcPr>
            <w:tcW w:w="1301" w:type="dxa"/>
          </w:tcPr>
          <w:p w14:paraId="7EAB1633" w14:textId="77777777" w:rsidR="007D7828" w:rsidRPr="00973AF7" w:rsidRDefault="007D7828" w:rsidP="007D7828">
            <w:pPr>
              <w:pStyle w:val="Initiativefigures"/>
              <w:keepNext/>
              <w:keepLines/>
            </w:pPr>
            <w:r w:rsidRPr="00973AF7">
              <w:t>2021-22</w:t>
            </w:r>
          </w:p>
          <w:p w14:paraId="047F8ECD" w14:textId="77777777" w:rsidR="007D7828" w:rsidRPr="00973AF7" w:rsidRDefault="007D7828" w:rsidP="007D7828">
            <w:pPr>
              <w:pStyle w:val="Initiativefigures"/>
              <w:keepNext/>
              <w:keepLines/>
            </w:pPr>
            <w:r w:rsidRPr="00973AF7">
              <w:t>$’000</w:t>
            </w:r>
          </w:p>
        </w:tc>
        <w:tc>
          <w:tcPr>
            <w:tcW w:w="1301" w:type="dxa"/>
          </w:tcPr>
          <w:p w14:paraId="2C961415" w14:textId="77777777" w:rsidR="007D7828" w:rsidRPr="00973AF7" w:rsidRDefault="007D7828" w:rsidP="007D7828">
            <w:pPr>
              <w:pStyle w:val="Initiativefigures"/>
              <w:keepNext/>
              <w:keepLines/>
            </w:pPr>
            <w:r w:rsidRPr="00973AF7">
              <w:t>2022-23</w:t>
            </w:r>
          </w:p>
          <w:p w14:paraId="148D39A8" w14:textId="77777777" w:rsidR="007D7828" w:rsidRPr="00973AF7" w:rsidRDefault="007D7828" w:rsidP="007D7828">
            <w:pPr>
              <w:pStyle w:val="Initiativefigures"/>
              <w:keepNext/>
              <w:keepLines/>
            </w:pPr>
            <w:r w:rsidRPr="00973AF7">
              <w:t>$’000</w:t>
            </w:r>
          </w:p>
        </w:tc>
        <w:tc>
          <w:tcPr>
            <w:tcW w:w="1302" w:type="dxa"/>
          </w:tcPr>
          <w:p w14:paraId="08E99536" w14:textId="77777777" w:rsidR="007D7828" w:rsidRPr="00973AF7" w:rsidRDefault="007D7828" w:rsidP="007D7828">
            <w:pPr>
              <w:pStyle w:val="Initiativefigures"/>
              <w:keepNext/>
              <w:keepLines/>
              <w:rPr>
                <w:b/>
                <w:bCs/>
              </w:rPr>
            </w:pPr>
            <w:r w:rsidRPr="00973AF7">
              <w:rPr>
                <w:b/>
                <w:bCs/>
              </w:rPr>
              <w:t xml:space="preserve">Total </w:t>
            </w:r>
          </w:p>
          <w:p w14:paraId="040DEE6B" w14:textId="77777777" w:rsidR="007D7828" w:rsidRPr="00973AF7" w:rsidRDefault="007D7828" w:rsidP="007D7828">
            <w:pPr>
              <w:pStyle w:val="Initiativefigures"/>
              <w:keepNext/>
              <w:keepLines/>
              <w:rPr>
                <w:b/>
                <w:bCs/>
              </w:rPr>
            </w:pPr>
            <w:r w:rsidRPr="00973AF7">
              <w:rPr>
                <w:b/>
                <w:bCs/>
              </w:rPr>
              <w:t>$’000</w:t>
            </w:r>
          </w:p>
        </w:tc>
      </w:tr>
      <w:tr w:rsidR="007D7828" w:rsidRPr="00973AF7" w14:paraId="29985341" w14:textId="77777777" w:rsidTr="007D7828">
        <w:tc>
          <w:tcPr>
            <w:tcW w:w="2510" w:type="dxa"/>
          </w:tcPr>
          <w:p w14:paraId="447F7654" w14:textId="77777777" w:rsidR="007D7828" w:rsidRPr="00973AF7" w:rsidRDefault="007D7828" w:rsidP="007D7828">
            <w:pPr>
              <w:pStyle w:val="Initiativetext"/>
              <w:keepNext/>
              <w:keepLines/>
            </w:pPr>
            <w:r w:rsidRPr="00973AF7">
              <w:t>Revenue forgone</w:t>
            </w:r>
          </w:p>
        </w:tc>
        <w:tc>
          <w:tcPr>
            <w:tcW w:w="1301" w:type="dxa"/>
          </w:tcPr>
          <w:p w14:paraId="68EB4E5A" w14:textId="77777777" w:rsidR="007D7828" w:rsidRPr="00973AF7" w:rsidRDefault="007D7828" w:rsidP="007D7828">
            <w:pPr>
              <w:pStyle w:val="Initiativefigures"/>
              <w:keepNext/>
              <w:keepLines/>
            </w:pPr>
            <w:r w:rsidRPr="00973AF7">
              <w:t>6,250</w:t>
            </w:r>
          </w:p>
        </w:tc>
        <w:tc>
          <w:tcPr>
            <w:tcW w:w="1301" w:type="dxa"/>
          </w:tcPr>
          <w:p w14:paraId="2629CABB" w14:textId="77777777" w:rsidR="007D7828" w:rsidRPr="00973AF7" w:rsidRDefault="007D7828" w:rsidP="007D7828">
            <w:pPr>
              <w:pStyle w:val="Initiativefigures"/>
              <w:keepNext/>
              <w:keepLines/>
            </w:pPr>
            <w:r w:rsidRPr="00973AF7">
              <w:t>6,250</w:t>
            </w:r>
          </w:p>
        </w:tc>
        <w:tc>
          <w:tcPr>
            <w:tcW w:w="1301" w:type="dxa"/>
          </w:tcPr>
          <w:p w14:paraId="2C534153" w14:textId="77777777" w:rsidR="007D7828" w:rsidRPr="00973AF7" w:rsidRDefault="007D7828" w:rsidP="007D7828">
            <w:pPr>
              <w:pStyle w:val="Initiativefigures"/>
              <w:keepNext/>
              <w:keepLines/>
            </w:pPr>
            <w:r w:rsidRPr="00973AF7">
              <w:t>0</w:t>
            </w:r>
          </w:p>
        </w:tc>
        <w:tc>
          <w:tcPr>
            <w:tcW w:w="1301" w:type="dxa"/>
          </w:tcPr>
          <w:p w14:paraId="10FDDB61" w14:textId="77777777" w:rsidR="007D7828" w:rsidRPr="00973AF7" w:rsidRDefault="007D7828" w:rsidP="007D7828">
            <w:pPr>
              <w:pStyle w:val="Initiativefigures"/>
              <w:keepNext/>
              <w:keepLines/>
            </w:pPr>
            <w:r w:rsidRPr="00973AF7">
              <w:t>0</w:t>
            </w:r>
          </w:p>
        </w:tc>
        <w:tc>
          <w:tcPr>
            <w:tcW w:w="1302" w:type="dxa"/>
          </w:tcPr>
          <w:p w14:paraId="75D5E3FD" w14:textId="77777777" w:rsidR="007D7828" w:rsidRPr="00973AF7" w:rsidRDefault="007D7828" w:rsidP="007D7828">
            <w:pPr>
              <w:pStyle w:val="Initiativefigures"/>
              <w:keepNext/>
              <w:keepLines/>
              <w:rPr>
                <w:b/>
                <w:bCs/>
              </w:rPr>
            </w:pPr>
            <w:r w:rsidRPr="00973AF7">
              <w:rPr>
                <w:b/>
                <w:bCs/>
              </w:rPr>
              <w:t>12,500</w:t>
            </w:r>
          </w:p>
        </w:tc>
      </w:tr>
    </w:tbl>
    <w:p w14:paraId="53BE9F48" w14:textId="5F660AE9" w:rsidR="007D7828" w:rsidRPr="00973AF7" w:rsidRDefault="007D7828" w:rsidP="007D7828">
      <w:pPr>
        <w:pStyle w:val="Bbodytext"/>
        <w:keepNext/>
        <w:keepLines/>
      </w:pPr>
      <w:r w:rsidRPr="00973AF7">
        <w:t xml:space="preserve">The Government </w:t>
      </w:r>
      <w:r w:rsidR="00EF1794">
        <w:t>is providing</w:t>
      </w:r>
      <w:r w:rsidRPr="00973AF7">
        <w:t xml:space="preserve"> general rates relief in 2019-20 and 2020-21 to commercial property owners who, consistent with the National Cabinet Mandatory Code of Conduct, negotiate in good faith to reduce rent for tenants affected by COVID-19</w:t>
      </w:r>
      <w:r w:rsidR="00473880">
        <w:t xml:space="preserve">. </w:t>
      </w:r>
      <w:r w:rsidRPr="00973AF7">
        <w:t xml:space="preserve">Commercial property owners who operate businesses from </w:t>
      </w:r>
      <w:r w:rsidR="00EF1794">
        <w:t>premises they own</w:t>
      </w:r>
      <w:r w:rsidRPr="00973AF7">
        <w:t xml:space="preserve"> will also be eligible for assistance if they have been negatively affected by COVID-19</w:t>
      </w:r>
      <w:r w:rsidR="00473880">
        <w:t xml:space="preserve">.  </w:t>
      </w:r>
    </w:p>
    <w:p w14:paraId="52F16F9C" w14:textId="12498A6D" w:rsidR="007D7828" w:rsidRPr="00973AF7" w:rsidRDefault="007D7828" w:rsidP="007D7828">
      <w:pPr>
        <w:pStyle w:val="Bbodytext"/>
        <w:keepNext/>
        <w:keepLines/>
      </w:pPr>
      <w:r w:rsidRPr="00973AF7">
        <w:t>Assistance for owners of properties with an AUV of $2 million or below is based on the significance of the impact on their tenants</w:t>
      </w:r>
      <w:r w:rsidR="00473880">
        <w:t xml:space="preserve">. </w:t>
      </w:r>
      <w:r w:rsidRPr="00973AF7">
        <w:t>Owners of properties with an AUV above $2 million can apply on a case-by-case basis</w:t>
      </w:r>
      <w:r w:rsidR="00473880">
        <w:t xml:space="preserve">.  </w:t>
      </w:r>
    </w:p>
    <w:p w14:paraId="1353A770" w14:textId="68BD8221" w:rsidR="007D7828" w:rsidRPr="00973AF7" w:rsidRDefault="007D7828" w:rsidP="007D7828">
      <w:pPr>
        <w:pStyle w:val="Bbodytext"/>
        <w:keepNext/>
        <w:keepLines/>
      </w:pPr>
      <w:r w:rsidRPr="00973AF7">
        <w:t xml:space="preserve">This estimated foregone revenue has been revised down from the original estimate, due to </w:t>
      </w:r>
      <w:r w:rsidR="002B05D0">
        <w:t xml:space="preserve">initial </w:t>
      </w:r>
      <w:r w:rsidRPr="00973AF7">
        <w:t>take-up being lower than originally anticipated</w:t>
      </w:r>
      <w:r w:rsidR="00473880">
        <w:t xml:space="preserve">. </w:t>
      </w:r>
      <w:r w:rsidRPr="00973AF7">
        <w:t>The final cost of this initiative will depend on the take-up rates and landlord and tenant characteristics</w:t>
      </w:r>
      <w:r w:rsidR="00473880">
        <w:t xml:space="preserve">. </w:t>
      </w:r>
      <w:r w:rsidRPr="00973AF7">
        <w:t xml:space="preserve">The Government has </w:t>
      </w:r>
      <w:r w:rsidR="002B05D0">
        <w:t>confirmed</w:t>
      </w:r>
      <w:r w:rsidR="002B05D0" w:rsidRPr="00973AF7">
        <w:t xml:space="preserve"> </w:t>
      </w:r>
      <w:r w:rsidRPr="00973AF7">
        <w:t>that the scheme will remain in place until 30 September 2020</w:t>
      </w:r>
      <w:r w:rsidR="00473880">
        <w:t xml:space="preserve">. </w:t>
      </w:r>
    </w:p>
    <w:p w14:paraId="0B4B3F85" w14:textId="534E8E22" w:rsidR="007D7828" w:rsidRPr="00973AF7" w:rsidRDefault="007D7828" w:rsidP="007D7828">
      <w:pPr>
        <w:pStyle w:val="Bbodytext"/>
        <w:keepNext/>
        <w:keepLines/>
      </w:pPr>
      <w:r w:rsidRPr="00973AF7">
        <w:rPr>
          <w:szCs w:val="24"/>
        </w:rPr>
        <w:t xml:space="preserve">Eligible businesses can apply via the </w:t>
      </w:r>
      <w:hyperlink r:id="rId15" w:history="1">
        <w:r w:rsidRPr="00973AF7">
          <w:rPr>
            <w:rStyle w:val="Hyperlink"/>
            <w:rFonts w:cstheme="minorHAnsi"/>
            <w:szCs w:val="24"/>
          </w:rPr>
          <w:t>ACT Revenue Office website</w:t>
        </w:r>
      </w:hyperlink>
      <w:r w:rsidRPr="00973AF7">
        <w:rPr>
          <w:rFonts w:cstheme="minorHAnsi"/>
          <w:szCs w:val="24"/>
        </w:rPr>
        <w:t xml:space="preserve"> (under the </w:t>
      </w:r>
      <w:r w:rsidRPr="00973AF7">
        <w:rPr>
          <w:rFonts w:cstheme="minorHAnsi"/>
          <w:i/>
          <w:iCs/>
          <w:szCs w:val="24"/>
        </w:rPr>
        <w:t>Commercial Property Owners</w:t>
      </w:r>
      <w:r w:rsidRPr="00973AF7">
        <w:rPr>
          <w:rFonts w:cstheme="minorHAnsi"/>
          <w:szCs w:val="24"/>
        </w:rPr>
        <w:t xml:space="preserve"> section)</w:t>
      </w:r>
      <w:r w:rsidR="00473880">
        <w:rPr>
          <w:rStyle w:val="Hyperlink"/>
          <w:rFonts w:cstheme="minorHAnsi"/>
          <w:szCs w:val="24"/>
        </w:rPr>
        <w:t xml:space="preserve">.  </w:t>
      </w:r>
    </w:p>
    <w:p w14:paraId="51336DA9" w14:textId="77777777" w:rsidR="007D7828" w:rsidRPr="00973AF7" w:rsidRDefault="007D7828" w:rsidP="00877AFB">
      <w:pPr>
        <w:pStyle w:val="Heading3"/>
      </w:pPr>
      <w:r w:rsidRPr="00973AF7">
        <w:t>Early payment of invoices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4CBFB69E" w14:textId="77777777" w:rsidTr="00877AFB">
        <w:tc>
          <w:tcPr>
            <w:tcW w:w="2510" w:type="dxa"/>
            <w:tcBorders>
              <w:bottom w:val="single" w:sz="4" w:space="0" w:color="auto"/>
            </w:tcBorders>
          </w:tcPr>
          <w:p w14:paraId="3D02C7BC" w14:textId="77777777" w:rsidR="007D7828" w:rsidRPr="00973AF7" w:rsidRDefault="007D7828" w:rsidP="007D7828">
            <w:pPr>
              <w:pStyle w:val="Initiativefigures"/>
            </w:pPr>
          </w:p>
        </w:tc>
        <w:tc>
          <w:tcPr>
            <w:tcW w:w="1301" w:type="dxa"/>
            <w:tcBorders>
              <w:bottom w:val="single" w:sz="4" w:space="0" w:color="auto"/>
            </w:tcBorders>
          </w:tcPr>
          <w:p w14:paraId="2EB53AE2" w14:textId="77777777" w:rsidR="007D7828" w:rsidRPr="00973AF7" w:rsidRDefault="007D7828" w:rsidP="007D7828">
            <w:pPr>
              <w:pStyle w:val="Initiativefigures"/>
            </w:pPr>
            <w:r w:rsidRPr="00973AF7">
              <w:t>2019-20</w:t>
            </w:r>
          </w:p>
          <w:p w14:paraId="79A0C3CB"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27843ED4" w14:textId="77777777" w:rsidR="007D7828" w:rsidRPr="00973AF7" w:rsidRDefault="007D7828" w:rsidP="007D7828">
            <w:pPr>
              <w:pStyle w:val="Initiativefigures"/>
            </w:pPr>
            <w:r w:rsidRPr="00973AF7">
              <w:t>2020-21</w:t>
            </w:r>
          </w:p>
          <w:p w14:paraId="176B1D11"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0346C4AF" w14:textId="77777777" w:rsidR="007D7828" w:rsidRPr="00973AF7" w:rsidRDefault="007D7828" w:rsidP="007D7828">
            <w:pPr>
              <w:pStyle w:val="Initiativefigures"/>
            </w:pPr>
            <w:r w:rsidRPr="00973AF7">
              <w:t>2021-22</w:t>
            </w:r>
          </w:p>
          <w:p w14:paraId="4CF42732"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4D9076CB" w14:textId="77777777" w:rsidR="007D7828" w:rsidRPr="00973AF7" w:rsidRDefault="007D7828" w:rsidP="007D7828">
            <w:pPr>
              <w:pStyle w:val="Initiativefigures"/>
            </w:pPr>
            <w:r w:rsidRPr="00973AF7">
              <w:t>2022-23</w:t>
            </w:r>
          </w:p>
          <w:p w14:paraId="3A2A1B1E" w14:textId="77777777" w:rsidR="007D7828" w:rsidRPr="00973AF7" w:rsidRDefault="007D7828" w:rsidP="007D7828">
            <w:pPr>
              <w:pStyle w:val="Initiativefigures"/>
            </w:pPr>
            <w:r w:rsidRPr="00973AF7">
              <w:t>$’000</w:t>
            </w:r>
          </w:p>
        </w:tc>
        <w:tc>
          <w:tcPr>
            <w:tcW w:w="1302" w:type="dxa"/>
            <w:tcBorders>
              <w:bottom w:val="single" w:sz="4" w:space="0" w:color="auto"/>
            </w:tcBorders>
          </w:tcPr>
          <w:p w14:paraId="7C5F31C6" w14:textId="77777777" w:rsidR="007D7828" w:rsidRPr="00973AF7" w:rsidRDefault="007D7828" w:rsidP="007D7828">
            <w:pPr>
              <w:pStyle w:val="Initiativefigures"/>
              <w:rPr>
                <w:b/>
                <w:bCs/>
              </w:rPr>
            </w:pPr>
            <w:r w:rsidRPr="00973AF7">
              <w:rPr>
                <w:b/>
                <w:bCs/>
              </w:rPr>
              <w:t xml:space="preserve">Total </w:t>
            </w:r>
          </w:p>
          <w:p w14:paraId="6B057E00" w14:textId="77777777" w:rsidR="007D7828" w:rsidRPr="00973AF7" w:rsidRDefault="007D7828" w:rsidP="007D7828">
            <w:pPr>
              <w:pStyle w:val="Initiativefigures"/>
              <w:rPr>
                <w:b/>
                <w:bCs/>
              </w:rPr>
            </w:pPr>
            <w:r w:rsidRPr="00973AF7">
              <w:rPr>
                <w:b/>
                <w:bCs/>
              </w:rPr>
              <w:t>$’000</w:t>
            </w:r>
          </w:p>
        </w:tc>
      </w:tr>
      <w:tr w:rsidR="007D7828" w:rsidRPr="00973AF7" w14:paraId="50BBBAC3" w14:textId="77777777" w:rsidTr="007D7828">
        <w:tc>
          <w:tcPr>
            <w:tcW w:w="2510" w:type="dxa"/>
            <w:tcBorders>
              <w:bottom w:val="single" w:sz="4" w:space="0" w:color="auto"/>
            </w:tcBorders>
          </w:tcPr>
          <w:p w14:paraId="71CDA589" w14:textId="77777777" w:rsidR="007D7828" w:rsidRPr="00973AF7" w:rsidRDefault="007D7828" w:rsidP="007D7828">
            <w:pPr>
              <w:pStyle w:val="Initiativetext"/>
            </w:pPr>
            <w:r w:rsidRPr="00973AF7">
              <w:t>Expense</w:t>
            </w:r>
          </w:p>
        </w:tc>
        <w:tc>
          <w:tcPr>
            <w:tcW w:w="1301" w:type="dxa"/>
            <w:tcBorders>
              <w:bottom w:val="single" w:sz="4" w:space="0" w:color="auto"/>
            </w:tcBorders>
          </w:tcPr>
          <w:p w14:paraId="79546650" w14:textId="77777777" w:rsidR="007D7828" w:rsidRPr="00973AF7" w:rsidRDefault="007D7828" w:rsidP="007D7828">
            <w:pPr>
              <w:pStyle w:val="Initiativefigures"/>
            </w:pPr>
            <w:r w:rsidRPr="00973AF7">
              <w:t>~</w:t>
            </w:r>
          </w:p>
        </w:tc>
        <w:tc>
          <w:tcPr>
            <w:tcW w:w="1301" w:type="dxa"/>
            <w:tcBorders>
              <w:bottom w:val="single" w:sz="4" w:space="0" w:color="auto"/>
            </w:tcBorders>
          </w:tcPr>
          <w:p w14:paraId="35E5FA7B" w14:textId="77777777" w:rsidR="007D7828" w:rsidRPr="00973AF7" w:rsidRDefault="007D7828" w:rsidP="007D7828">
            <w:pPr>
              <w:pStyle w:val="Initiativefigures"/>
            </w:pPr>
            <w:r w:rsidRPr="00973AF7">
              <w:t>~</w:t>
            </w:r>
          </w:p>
        </w:tc>
        <w:tc>
          <w:tcPr>
            <w:tcW w:w="1301" w:type="dxa"/>
            <w:tcBorders>
              <w:bottom w:val="single" w:sz="4" w:space="0" w:color="auto"/>
            </w:tcBorders>
          </w:tcPr>
          <w:p w14:paraId="52C71E6B" w14:textId="77777777" w:rsidR="007D7828" w:rsidRPr="00973AF7" w:rsidRDefault="007D7828" w:rsidP="007D7828">
            <w:pPr>
              <w:pStyle w:val="Initiativefigures"/>
            </w:pPr>
            <w:r w:rsidRPr="00973AF7">
              <w:t>0</w:t>
            </w:r>
          </w:p>
        </w:tc>
        <w:tc>
          <w:tcPr>
            <w:tcW w:w="1301" w:type="dxa"/>
            <w:tcBorders>
              <w:bottom w:val="single" w:sz="4" w:space="0" w:color="auto"/>
            </w:tcBorders>
          </w:tcPr>
          <w:p w14:paraId="3BE6D1A1" w14:textId="77777777" w:rsidR="007D7828" w:rsidRPr="00973AF7" w:rsidRDefault="007D7828" w:rsidP="007D7828">
            <w:pPr>
              <w:pStyle w:val="Initiativefigures"/>
            </w:pPr>
            <w:r w:rsidRPr="00973AF7">
              <w:t>0</w:t>
            </w:r>
          </w:p>
        </w:tc>
        <w:tc>
          <w:tcPr>
            <w:tcW w:w="1302" w:type="dxa"/>
            <w:tcBorders>
              <w:bottom w:val="single" w:sz="4" w:space="0" w:color="auto"/>
            </w:tcBorders>
          </w:tcPr>
          <w:p w14:paraId="2104D067" w14:textId="77777777" w:rsidR="007D7828" w:rsidRPr="00973AF7" w:rsidRDefault="007D7828" w:rsidP="007D7828">
            <w:pPr>
              <w:pStyle w:val="Initiativefigures"/>
              <w:rPr>
                <w:b/>
                <w:bCs/>
              </w:rPr>
            </w:pPr>
            <w:r w:rsidRPr="00973AF7">
              <w:rPr>
                <w:b/>
                <w:bCs/>
              </w:rPr>
              <w:t>~</w:t>
            </w:r>
          </w:p>
        </w:tc>
      </w:tr>
    </w:tbl>
    <w:p w14:paraId="4CF89F49" w14:textId="493624FF" w:rsidR="007D7828" w:rsidRDefault="007D7828" w:rsidP="007D7828">
      <w:pPr>
        <w:pStyle w:val="Bbodytext"/>
      </w:pPr>
      <w:r w:rsidRPr="00973AF7">
        <w:t xml:space="preserve">Recognising the importance of cash flow to small and medium enterprises, the Government </w:t>
      </w:r>
      <w:r w:rsidR="002B05D0">
        <w:t>has accelerated</w:t>
      </w:r>
      <w:r w:rsidRPr="00973AF7">
        <w:t xml:space="preserve"> the payment of invoices for local enterprises</w:t>
      </w:r>
      <w:r w:rsidR="00473880">
        <w:t xml:space="preserve">. </w:t>
      </w:r>
      <w:r w:rsidRPr="00973AF7">
        <w:t>The cost associated with this is due to the indirect loss of interest from these early payments</w:t>
      </w:r>
      <w:r w:rsidR="00473880">
        <w:t xml:space="preserve">.  </w:t>
      </w:r>
    </w:p>
    <w:p w14:paraId="252CDC57" w14:textId="77777777" w:rsidR="007D7828" w:rsidRPr="00973AF7" w:rsidRDefault="007D7828" w:rsidP="009C357F">
      <w:pPr>
        <w:pStyle w:val="Heading3"/>
        <w:keepNext w:val="0"/>
        <w:keepLines w:val="0"/>
      </w:pPr>
      <w:r w:rsidRPr="00973AF7">
        <w:t xml:space="preserve">Expediting development application and unit titling approvals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00C0B565" w14:textId="77777777" w:rsidTr="007D7828">
        <w:tc>
          <w:tcPr>
            <w:tcW w:w="2510" w:type="dxa"/>
            <w:tcBorders>
              <w:bottom w:val="single" w:sz="4" w:space="0" w:color="auto"/>
            </w:tcBorders>
          </w:tcPr>
          <w:p w14:paraId="450DBB4A" w14:textId="77777777" w:rsidR="007D7828" w:rsidRPr="00973AF7" w:rsidRDefault="007D7828" w:rsidP="009C357F">
            <w:pPr>
              <w:pStyle w:val="Initiativefigures"/>
            </w:pPr>
          </w:p>
        </w:tc>
        <w:tc>
          <w:tcPr>
            <w:tcW w:w="1301" w:type="dxa"/>
            <w:tcBorders>
              <w:bottom w:val="single" w:sz="4" w:space="0" w:color="auto"/>
            </w:tcBorders>
          </w:tcPr>
          <w:p w14:paraId="3AD6DCE0" w14:textId="77777777" w:rsidR="007D7828" w:rsidRPr="00973AF7" w:rsidRDefault="007D7828" w:rsidP="009C357F">
            <w:pPr>
              <w:pStyle w:val="Initiativefigures"/>
            </w:pPr>
            <w:r w:rsidRPr="00973AF7">
              <w:t>2019-20</w:t>
            </w:r>
          </w:p>
          <w:p w14:paraId="5FE452CB" w14:textId="77777777" w:rsidR="007D7828" w:rsidRPr="00973AF7" w:rsidRDefault="007D7828" w:rsidP="009C357F">
            <w:pPr>
              <w:pStyle w:val="Initiativefigures"/>
            </w:pPr>
            <w:r w:rsidRPr="00973AF7">
              <w:t>$’000</w:t>
            </w:r>
          </w:p>
        </w:tc>
        <w:tc>
          <w:tcPr>
            <w:tcW w:w="1301" w:type="dxa"/>
            <w:tcBorders>
              <w:bottom w:val="single" w:sz="4" w:space="0" w:color="auto"/>
            </w:tcBorders>
          </w:tcPr>
          <w:p w14:paraId="55491248" w14:textId="77777777" w:rsidR="007D7828" w:rsidRPr="00973AF7" w:rsidRDefault="007D7828" w:rsidP="009C357F">
            <w:pPr>
              <w:pStyle w:val="Initiativefigures"/>
            </w:pPr>
            <w:r w:rsidRPr="00973AF7">
              <w:t>2020-21</w:t>
            </w:r>
          </w:p>
          <w:p w14:paraId="6F4F3A81" w14:textId="77777777" w:rsidR="007D7828" w:rsidRPr="00973AF7" w:rsidRDefault="007D7828" w:rsidP="009C357F">
            <w:pPr>
              <w:pStyle w:val="Initiativefigures"/>
            </w:pPr>
            <w:r w:rsidRPr="00973AF7">
              <w:t>$’000</w:t>
            </w:r>
          </w:p>
        </w:tc>
        <w:tc>
          <w:tcPr>
            <w:tcW w:w="1301" w:type="dxa"/>
            <w:tcBorders>
              <w:bottom w:val="single" w:sz="4" w:space="0" w:color="auto"/>
            </w:tcBorders>
          </w:tcPr>
          <w:p w14:paraId="4D846BB6" w14:textId="77777777" w:rsidR="007D7828" w:rsidRPr="00973AF7" w:rsidRDefault="007D7828" w:rsidP="009C357F">
            <w:pPr>
              <w:pStyle w:val="Initiativefigures"/>
            </w:pPr>
            <w:r w:rsidRPr="00973AF7">
              <w:t>2021-22</w:t>
            </w:r>
          </w:p>
          <w:p w14:paraId="6C2500E7" w14:textId="77777777" w:rsidR="007D7828" w:rsidRPr="00973AF7" w:rsidRDefault="007D7828" w:rsidP="009C357F">
            <w:pPr>
              <w:pStyle w:val="Initiativefigures"/>
            </w:pPr>
            <w:r w:rsidRPr="00973AF7">
              <w:t>$’000</w:t>
            </w:r>
          </w:p>
        </w:tc>
        <w:tc>
          <w:tcPr>
            <w:tcW w:w="1301" w:type="dxa"/>
            <w:tcBorders>
              <w:bottom w:val="single" w:sz="4" w:space="0" w:color="auto"/>
            </w:tcBorders>
          </w:tcPr>
          <w:p w14:paraId="62A08B50" w14:textId="77777777" w:rsidR="007D7828" w:rsidRPr="00973AF7" w:rsidRDefault="007D7828" w:rsidP="009C357F">
            <w:pPr>
              <w:pStyle w:val="Initiativefigures"/>
            </w:pPr>
            <w:r w:rsidRPr="00973AF7">
              <w:t>2022-23</w:t>
            </w:r>
          </w:p>
          <w:p w14:paraId="440D5D65" w14:textId="77777777" w:rsidR="007D7828" w:rsidRPr="00973AF7" w:rsidRDefault="007D7828" w:rsidP="009C357F">
            <w:pPr>
              <w:pStyle w:val="Initiativefigures"/>
            </w:pPr>
            <w:r w:rsidRPr="00973AF7">
              <w:t>$’000</w:t>
            </w:r>
          </w:p>
        </w:tc>
        <w:tc>
          <w:tcPr>
            <w:tcW w:w="1302" w:type="dxa"/>
            <w:tcBorders>
              <w:bottom w:val="single" w:sz="4" w:space="0" w:color="auto"/>
            </w:tcBorders>
          </w:tcPr>
          <w:p w14:paraId="4FC4C3A8" w14:textId="77777777" w:rsidR="007D7828" w:rsidRPr="00973AF7" w:rsidRDefault="007D7828" w:rsidP="009C357F">
            <w:pPr>
              <w:pStyle w:val="Initiativefigures"/>
              <w:rPr>
                <w:b/>
                <w:bCs/>
              </w:rPr>
            </w:pPr>
            <w:r w:rsidRPr="00973AF7">
              <w:rPr>
                <w:b/>
                <w:bCs/>
              </w:rPr>
              <w:t xml:space="preserve">Total </w:t>
            </w:r>
          </w:p>
          <w:p w14:paraId="4A92E750" w14:textId="77777777" w:rsidR="007D7828" w:rsidRPr="00973AF7" w:rsidRDefault="007D7828" w:rsidP="009C357F">
            <w:pPr>
              <w:pStyle w:val="Initiativefigures"/>
              <w:rPr>
                <w:b/>
                <w:bCs/>
              </w:rPr>
            </w:pPr>
            <w:r w:rsidRPr="00973AF7">
              <w:rPr>
                <w:b/>
                <w:bCs/>
              </w:rPr>
              <w:t>$’000</w:t>
            </w:r>
          </w:p>
        </w:tc>
      </w:tr>
      <w:tr w:rsidR="007D7828" w:rsidRPr="00973AF7" w14:paraId="4F30D91D" w14:textId="77777777" w:rsidTr="007D7828">
        <w:tc>
          <w:tcPr>
            <w:tcW w:w="2510" w:type="dxa"/>
            <w:tcBorders>
              <w:bottom w:val="single" w:sz="4" w:space="0" w:color="auto"/>
            </w:tcBorders>
          </w:tcPr>
          <w:p w14:paraId="7BFB822F" w14:textId="77777777" w:rsidR="007D7828" w:rsidRPr="00973AF7" w:rsidRDefault="007D7828" w:rsidP="009C357F">
            <w:pPr>
              <w:pStyle w:val="Initiativetext"/>
            </w:pPr>
            <w:r w:rsidRPr="00973AF7">
              <w:t>Expense</w:t>
            </w:r>
          </w:p>
        </w:tc>
        <w:tc>
          <w:tcPr>
            <w:tcW w:w="1301" w:type="dxa"/>
            <w:tcBorders>
              <w:bottom w:val="single" w:sz="4" w:space="0" w:color="auto"/>
            </w:tcBorders>
          </w:tcPr>
          <w:p w14:paraId="7ABE4281" w14:textId="77777777" w:rsidR="007D7828" w:rsidRPr="00973AF7" w:rsidRDefault="007D7828" w:rsidP="009C357F">
            <w:pPr>
              <w:pStyle w:val="Initiativefigures"/>
            </w:pPr>
            <w:r w:rsidRPr="00973AF7">
              <w:t>0</w:t>
            </w:r>
          </w:p>
        </w:tc>
        <w:tc>
          <w:tcPr>
            <w:tcW w:w="1301" w:type="dxa"/>
            <w:tcBorders>
              <w:bottom w:val="single" w:sz="4" w:space="0" w:color="auto"/>
            </w:tcBorders>
          </w:tcPr>
          <w:p w14:paraId="700A36C9" w14:textId="77777777" w:rsidR="007D7828" w:rsidRPr="00973AF7" w:rsidRDefault="007D7828" w:rsidP="009C357F">
            <w:pPr>
              <w:pStyle w:val="Initiativefigures"/>
            </w:pPr>
            <w:r w:rsidRPr="00973AF7">
              <w:t>475</w:t>
            </w:r>
          </w:p>
        </w:tc>
        <w:tc>
          <w:tcPr>
            <w:tcW w:w="1301" w:type="dxa"/>
            <w:tcBorders>
              <w:bottom w:val="single" w:sz="4" w:space="0" w:color="auto"/>
            </w:tcBorders>
          </w:tcPr>
          <w:p w14:paraId="52E4BAD3" w14:textId="77777777" w:rsidR="007D7828" w:rsidRPr="00973AF7" w:rsidRDefault="007D7828" w:rsidP="009C357F">
            <w:pPr>
              <w:pStyle w:val="Initiativefigures"/>
            </w:pPr>
            <w:r w:rsidRPr="00973AF7">
              <w:t>490</w:t>
            </w:r>
          </w:p>
        </w:tc>
        <w:tc>
          <w:tcPr>
            <w:tcW w:w="1301" w:type="dxa"/>
            <w:tcBorders>
              <w:bottom w:val="single" w:sz="4" w:space="0" w:color="auto"/>
            </w:tcBorders>
          </w:tcPr>
          <w:p w14:paraId="2BE00998" w14:textId="77777777" w:rsidR="007D7828" w:rsidRPr="00973AF7" w:rsidRDefault="007D7828" w:rsidP="009C357F">
            <w:pPr>
              <w:pStyle w:val="Initiativefigures"/>
            </w:pPr>
            <w:r w:rsidRPr="00973AF7">
              <w:t>503</w:t>
            </w:r>
          </w:p>
        </w:tc>
        <w:tc>
          <w:tcPr>
            <w:tcW w:w="1302" w:type="dxa"/>
            <w:tcBorders>
              <w:bottom w:val="single" w:sz="4" w:space="0" w:color="auto"/>
            </w:tcBorders>
          </w:tcPr>
          <w:p w14:paraId="4CDCD6FF" w14:textId="77777777" w:rsidR="007D7828" w:rsidRPr="00973AF7" w:rsidRDefault="007D7828" w:rsidP="009C357F">
            <w:pPr>
              <w:pStyle w:val="Initiativefigures"/>
              <w:rPr>
                <w:b/>
                <w:bCs/>
              </w:rPr>
            </w:pPr>
            <w:r w:rsidRPr="00973AF7">
              <w:rPr>
                <w:b/>
                <w:bCs/>
              </w:rPr>
              <w:t>1,468</w:t>
            </w:r>
          </w:p>
        </w:tc>
      </w:tr>
    </w:tbl>
    <w:p w14:paraId="20061DA1" w14:textId="2FB21A5B" w:rsidR="007D7828" w:rsidRPr="00973AF7" w:rsidRDefault="007D7828" w:rsidP="009C357F">
      <w:pPr>
        <w:pStyle w:val="Bbodytext"/>
      </w:pPr>
      <w:r w:rsidRPr="00973AF7">
        <w:t>The Government will continue to fast track development application and unit titling approvals to allow work to continue in the ACT’s construction sector</w:t>
      </w:r>
      <w:r w:rsidR="00473880">
        <w:t xml:space="preserve">. </w:t>
      </w:r>
      <w:r w:rsidRPr="00973AF7">
        <w:t xml:space="preserve">The Government </w:t>
      </w:r>
      <w:r>
        <w:t xml:space="preserve">has allocated funding for additional </w:t>
      </w:r>
      <w:r w:rsidR="002B05D0">
        <w:t xml:space="preserve">staff </w:t>
      </w:r>
      <w:r w:rsidRPr="00973AF7">
        <w:t xml:space="preserve">in the Transport Canberra and City Services Directorate to </w:t>
      </w:r>
      <w:r w:rsidR="002B05D0">
        <w:t xml:space="preserve">speed up </w:t>
      </w:r>
      <w:r w:rsidRPr="00973AF7">
        <w:t>asset acceptance processes</w:t>
      </w:r>
      <w:r w:rsidR="00EF1794">
        <w:t xml:space="preserve">, and reprioritised staff to expedite approvals in </w:t>
      </w:r>
      <w:r w:rsidR="002A18F2">
        <w:t>Planning Delivery</w:t>
      </w:r>
      <w:r w:rsidR="00473880">
        <w:t xml:space="preserve">.  </w:t>
      </w:r>
    </w:p>
    <w:p w14:paraId="18026BED" w14:textId="77777777" w:rsidR="007D7828" w:rsidRPr="00973AF7" w:rsidRDefault="007D7828" w:rsidP="007D7828">
      <w:pPr>
        <w:pStyle w:val="Heading3"/>
        <w:rPr>
          <w:bCs/>
        </w:rPr>
      </w:pPr>
      <w:r w:rsidRPr="00973AF7">
        <w:lastRenderedPageBreak/>
        <w:t>Extending taxi industry support to lessees of privately-owned plates</w:t>
      </w:r>
      <w:r w:rsidRPr="00973AF7">
        <w:rPr>
          <w:bCs/>
        </w:rPr>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51E2A2A9" w14:textId="77777777" w:rsidTr="007D7828">
        <w:tc>
          <w:tcPr>
            <w:tcW w:w="2510" w:type="dxa"/>
          </w:tcPr>
          <w:p w14:paraId="2FF32D47" w14:textId="77777777" w:rsidR="007D7828" w:rsidRPr="00973AF7" w:rsidRDefault="007D7828" w:rsidP="007D7828">
            <w:pPr>
              <w:pStyle w:val="Initiativefigures"/>
              <w:keepNext/>
              <w:keepLines/>
            </w:pPr>
          </w:p>
        </w:tc>
        <w:tc>
          <w:tcPr>
            <w:tcW w:w="1301" w:type="dxa"/>
          </w:tcPr>
          <w:p w14:paraId="1F1CCFE4" w14:textId="77777777" w:rsidR="007D7828" w:rsidRPr="00973AF7" w:rsidRDefault="007D7828" w:rsidP="007D7828">
            <w:pPr>
              <w:pStyle w:val="Initiativefigures"/>
              <w:keepNext/>
              <w:keepLines/>
            </w:pPr>
            <w:r w:rsidRPr="00973AF7">
              <w:t>2019-20</w:t>
            </w:r>
          </w:p>
          <w:p w14:paraId="2F60222A" w14:textId="77777777" w:rsidR="007D7828" w:rsidRPr="00973AF7" w:rsidRDefault="007D7828" w:rsidP="007D7828">
            <w:pPr>
              <w:pStyle w:val="Initiativefigures"/>
              <w:keepNext/>
              <w:keepLines/>
            </w:pPr>
            <w:r w:rsidRPr="00973AF7">
              <w:t>$’000</w:t>
            </w:r>
          </w:p>
        </w:tc>
        <w:tc>
          <w:tcPr>
            <w:tcW w:w="1301" w:type="dxa"/>
          </w:tcPr>
          <w:p w14:paraId="160B71EA" w14:textId="77777777" w:rsidR="007D7828" w:rsidRPr="00973AF7" w:rsidRDefault="007D7828" w:rsidP="007D7828">
            <w:pPr>
              <w:pStyle w:val="Initiativefigures"/>
              <w:keepNext/>
              <w:keepLines/>
            </w:pPr>
            <w:r w:rsidRPr="00973AF7">
              <w:t>2020-21</w:t>
            </w:r>
          </w:p>
          <w:p w14:paraId="501DCA84" w14:textId="77777777" w:rsidR="007D7828" w:rsidRPr="00973AF7" w:rsidRDefault="007D7828" w:rsidP="007D7828">
            <w:pPr>
              <w:pStyle w:val="Initiativefigures"/>
              <w:keepNext/>
              <w:keepLines/>
            </w:pPr>
            <w:r w:rsidRPr="00973AF7">
              <w:t>$’000</w:t>
            </w:r>
          </w:p>
        </w:tc>
        <w:tc>
          <w:tcPr>
            <w:tcW w:w="1301" w:type="dxa"/>
          </w:tcPr>
          <w:p w14:paraId="21EEFFC0" w14:textId="77777777" w:rsidR="007D7828" w:rsidRPr="00973AF7" w:rsidRDefault="007D7828" w:rsidP="007D7828">
            <w:pPr>
              <w:pStyle w:val="Initiativefigures"/>
              <w:keepNext/>
              <w:keepLines/>
            </w:pPr>
            <w:r w:rsidRPr="00973AF7">
              <w:t>2021-22</w:t>
            </w:r>
          </w:p>
          <w:p w14:paraId="68D61B66" w14:textId="77777777" w:rsidR="007D7828" w:rsidRPr="00973AF7" w:rsidRDefault="007D7828" w:rsidP="007D7828">
            <w:pPr>
              <w:pStyle w:val="Initiativefigures"/>
              <w:keepNext/>
              <w:keepLines/>
            </w:pPr>
            <w:r w:rsidRPr="00973AF7">
              <w:t>$’000</w:t>
            </w:r>
          </w:p>
        </w:tc>
        <w:tc>
          <w:tcPr>
            <w:tcW w:w="1301" w:type="dxa"/>
          </w:tcPr>
          <w:p w14:paraId="78E61029" w14:textId="77777777" w:rsidR="007D7828" w:rsidRPr="00973AF7" w:rsidRDefault="007D7828" w:rsidP="007D7828">
            <w:pPr>
              <w:pStyle w:val="Initiativefigures"/>
              <w:keepNext/>
              <w:keepLines/>
            </w:pPr>
            <w:r w:rsidRPr="00973AF7">
              <w:t>2022-23</w:t>
            </w:r>
          </w:p>
          <w:p w14:paraId="2D06FB9E" w14:textId="77777777" w:rsidR="007D7828" w:rsidRPr="00973AF7" w:rsidRDefault="007D7828" w:rsidP="007D7828">
            <w:pPr>
              <w:pStyle w:val="Initiativefigures"/>
              <w:keepNext/>
              <w:keepLines/>
            </w:pPr>
            <w:r w:rsidRPr="00973AF7">
              <w:t>$’000</w:t>
            </w:r>
          </w:p>
        </w:tc>
        <w:tc>
          <w:tcPr>
            <w:tcW w:w="1302" w:type="dxa"/>
          </w:tcPr>
          <w:p w14:paraId="7FEFA6A6" w14:textId="77777777" w:rsidR="007D7828" w:rsidRPr="00973AF7" w:rsidRDefault="007D7828" w:rsidP="007D7828">
            <w:pPr>
              <w:pStyle w:val="Initiativefigures"/>
              <w:keepNext/>
              <w:keepLines/>
              <w:rPr>
                <w:b/>
                <w:bCs/>
              </w:rPr>
            </w:pPr>
            <w:r w:rsidRPr="00973AF7">
              <w:rPr>
                <w:b/>
                <w:bCs/>
              </w:rPr>
              <w:t xml:space="preserve">Total </w:t>
            </w:r>
          </w:p>
          <w:p w14:paraId="27D92EBC" w14:textId="77777777" w:rsidR="007D7828" w:rsidRPr="00973AF7" w:rsidRDefault="007D7828" w:rsidP="007D7828">
            <w:pPr>
              <w:pStyle w:val="Initiativefigures"/>
              <w:keepNext/>
              <w:keepLines/>
              <w:rPr>
                <w:b/>
                <w:bCs/>
              </w:rPr>
            </w:pPr>
            <w:r w:rsidRPr="00973AF7">
              <w:rPr>
                <w:b/>
                <w:bCs/>
              </w:rPr>
              <w:t>$’000</w:t>
            </w:r>
          </w:p>
        </w:tc>
      </w:tr>
      <w:tr w:rsidR="007D7828" w:rsidRPr="00973AF7" w14:paraId="0BE796CB" w14:textId="77777777" w:rsidTr="007D7828">
        <w:tc>
          <w:tcPr>
            <w:tcW w:w="2510" w:type="dxa"/>
          </w:tcPr>
          <w:p w14:paraId="7E87085B" w14:textId="77777777" w:rsidR="007D7828" w:rsidRPr="00973AF7" w:rsidRDefault="007D7828" w:rsidP="007D7828">
            <w:pPr>
              <w:pStyle w:val="Initiativetext"/>
              <w:keepNext/>
              <w:keepLines/>
            </w:pPr>
            <w:r w:rsidRPr="00973AF7">
              <w:t>Expense</w:t>
            </w:r>
          </w:p>
        </w:tc>
        <w:tc>
          <w:tcPr>
            <w:tcW w:w="1301" w:type="dxa"/>
          </w:tcPr>
          <w:p w14:paraId="1D587888" w14:textId="77777777" w:rsidR="007D7828" w:rsidRPr="00973AF7" w:rsidRDefault="007D7828" w:rsidP="007D7828">
            <w:pPr>
              <w:pStyle w:val="Initiativefigures"/>
              <w:keepNext/>
              <w:keepLines/>
            </w:pPr>
            <w:r w:rsidRPr="00973AF7">
              <w:t>810</w:t>
            </w:r>
          </w:p>
        </w:tc>
        <w:tc>
          <w:tcPr>
            <w:tcW w:w="1301" w:type="dxa"/>
          </w:tcPr>
          <w:p w14:paraId="6614BB6B" w14:textId="77777777" w:rsidR="007D7828" w:rsidRPr="00973AF7" w:rsidRDefault="007D7828" w:rsidP="007D7828">
            <w:pPr>
              <w:pStyle w:val="Initiativefigures"/>
              <w:keepNext/>
              <w:keepLines/>
            </w:pPr>
            <w:r w:rsidRPr="00973AF7">
              <w:t>0</w:t>
            </w:r>
          </w:p>
        </w:tc>
        <w:tc>
          <w:tcPr>
            <w:tcW w:w="1301" w:type="dxa"/>
          </w:tcPr>
          <w:p w14:paraId="4466D2AF" w14:textId="77777777" w:rsidR="007D7828" w:rsidRPr="00973AF7" w:rsidRDefault="007D7828" w:rsidP="007D7828">
            <w:pPr>
              <w:pStyle w:val="Initiativefigures"/>
              <w:keepNext/>
              <w:keepLines/>
            </w:pPr>
            <w:r w:rsidRPr="00973AF7">
              <w:t>0</w:t>
            </w:r>
          </w:p>
        </w:tc>
        <w:tc>
          <w:tcPr>
            <w:tcW w:w="1301" w:type="dxa"/>
          </w:tcPr>
          <w:p w14:paraId="37AD631C" w14:textId="77777777" w:rsidR="007D7828" w:rsidRPr="00973AF7" w:rsidRDefault="007D7828" w:rsidP="007D7828">
            <w:pPr>
              <w:pStyle w:val="Initiativefigures"/>
              <w:keepNext/>
              <w:keepLines/>
            </w:pPr>
            <w:r w:rsidRPr="00973AF7">
              <w:t>0</w:t>
            </w:r>
          </w:p>
        </w:tc>
        <w:tc>
          <w:tcPr>
            <w:tcW w:w="1302" w:type="dxa"/>
          </w:tcPr>
          <w:p w14:paraId="11BFF35B" w14:textId="77777777" w:rsidR="007D7828" w:rsidRPr="00973AF7" w:rsidRDefault="007D7828" w:rsidP="007D7828">
            <w:pPr>
              <w:pStyle w:val="Initiativefigures"/>
              <w:keepNext/>
              <w:keepLines/>
              <w:rPr>
                <w:b/>
                <w:bCs/>
              </w:rPr>
            </w:pPr>
            <w:r w:rsidRPr="00973AF7">
              <w:rPr>
                <w:b/>
                <w:bCs/>
              </w:rPr>
              <w:t>810</w:t>
            </w:r>
          </w:p>
        </w:tc>
      </w:tr>
    </w:tbl>
    <w:p w14:paraId="4E90AE15" w14:textId="1FD5F35F" w:rsidR="007D7828" w:rsidRPr="00973AF7" w:rsidRDefault="007D7828" w:rsidP="007D7828">
      <w:pPr>
        <w:pStyle w:val="Bbodytext"/>
        <w:keepNext/>
        <w:keepLines/>
        <w:rPr>
          <w:szCs w:val="24"/>
        </w:rPr>
      </w:pPr>
      <w:r w:rsidRPr="00973AF7">
        <w:rPr>
          <w:szCs w:val="24"/>
        </w:rPr>
        <w:t xml:space="preserve">The Government </w:t>
      </w:r>
      <w:r w:rsidR="00EF1794">
        <w:rPr>
          <w:szCs w:val="24"/>
        </w:rPr>
        <w:t>is providing</w:t>
      </w:r>
      <w:r w:rsidRPr="00973AF7">
        <w:rPr>
          <w:szCs w:val="24"/>
        </w:rPr>
        <w:t xml:space="preserve"> a one-off payment of up to $5,000 to taxi drivers who lease their taxi plates from private owners</w:t>
      </w:r>
      <w:r w:rsidR="00473880">
        <w:rPr>
          <w:szCs w:val="24"/>
        </w:rPr>
        <w:t xml:space="preserve">. </w:t>
      </w:r>
      <w:r w:rsidRPr="00973AF7">
        <w:rPr>
          <w:szCs w:val="24"/>
        </w:rPr>
        <w:t>This provides the same level of support as provided to those who lease Government plates in the Territory</w:t>
      </w:r>
      <w:r w:rsidR="00473880">
        <w:rPr>
          <w:szCs w:val="24"/>
        </w:rPr>
        <w:t xml:space="preserve">.  </w:t>
      </w:r>
    </w:p>
    <w:p w14:paraId="1F732848" w14:textId="05A10730" w:rsidR="007D7828" w:rsidRPr="00973AF7" w:rsidRDefault="007D7828" w:rsidP="007D7828">
      <w:pPr>
        <w:pStyle w:val="Bbodytext"/>
        <w:keepNext/>
        <w:keepLines/>
        <w:rPr>
          <w:rFonts w:cs="Arial"/>
          <w:szCs w:val="24"/>
        </w:rPr>
      </w:pPr>
      <w:r w:rsidRPr="00973AF7">
        <w:rPr>
          <w:szCs w:val="24"/>
        </w:rPr>
        <w:t xml:space="preserve">Eligible drivers should submit an application form </w:t>
      </w:r>
      <w:r w:rsidRPr="00973AF7">
        <w:rPr>
          <w:rFonts w:cs="Arial"/>
          <w:szCs w:val="24"/>
        </w:rPr>
        <w:t xml:space="preserve">available on the </w:t>
      </w:r>
      <w:hyperlink r:id="rId16" w:history="1">
        <w:r w:rsidRPr="00973AF7">
          <w:rPr>
            <w:rStyle w:val="Hyperlink"/>
            <w:rFonts w:cs="Arial"/>
          </w:rPr>
          <w:t>ACT COVID-19 website</w:t>
        </w:r>
        <w:r w:rsidR="00473880">
          <w:rPr>
            <w:rStyle w:val="Hyperlink"/>
            <w:rFonts w:cs="Arial"/>
          </w:rPr>
          <w:t xml:space="preserve">. </w:t>
        </w:r>
      </w:hyperlink>
      <w:r w:rsidRPr="00973AF7">
        <w:rPr>
          <w:rFonts w:cs="Arial"/>
          <w:szCs w:val="24"/>
        </w:rPr>
        <w:t xml:space="preserve"> </w:t>
      </w:r>
    </w:p>
    <w:p w14:paraId="0A70AAD1" w14:textId="0F2DE242" w:rsidR="007D7828" w:rsidRPr="00973AF7" w:rsidRDefault="007D7828" w:rsidP="007D7828">
      <w:pPr>
        <w:pStyle w:val="Heading3"/>
      </w:pPr>
      <w:r w:rsidRPr="00973AF7">
        <w:t xml:space="preserve">Fee reduction – </w:t>
      </w:r>
      <w:r w:rsidR="003140C0">
        <w:t>o</w:t>
      </w:r>
      <w:r w:rsidRPr="00973AF7">
        <w:t>ne-year waiver for food business registration, outdoor dining and liquor licensing fees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73"/>
        <w:gridCol w:w="1268"/>
        <w:gridCol w:w="1355"/>
        <w:gridCol w:w="1245"/>
        <w:gridCol w:w="1245"/>
        <w:gridCol w:w="1540"/>
      </w:tblGrid>
      <w:tr w:rsidR="007D7828" w:rsidRPr="00973AF7" w14:paraId="5B1EBEFE" w14:textId="77777777" w:rsidTr="007D7828">
        <w:tc>
          <w:tcPr>
            <w:tcW w:w="2373" w:type="dxa"/>
            <w:tcBorders>
              <w:bottom w:val="single" w:sz="4" w:space="0" w:color="auto"/>
            </w:tcBorders>
          </w:tcPr>
          <w:p w14:paraId="1F55CF1F" w14:textId="77777777" w:rsidR="007D7828" w:rsidRPr="00973AF7" w:rsidRDefault="007D7828" w:rsidP="007D7828">
            <w:pPr>
              <w:pStyle w:val="Initiativefigures"/>
            </w:pPr>
          </w:p>
        </w:tc>
        <w:tc>
          <w:tcPr>
            <w:tcW w:w="1268" w:type="dxa"/>
            <w:tcBorders>
              <w:bottom w:val="single" w:sz="4" w:space="0" w:color="auto"/>
            </w:tcBorders>
          </w:tcPr>
          <w:p w14:paraId="39F79EC5" w14:textId="77777777" w:rsidR="007D7828" w:rsidRPr="00973AF7" w:rsidRDefault="007D7828" w:rsidP="007D7828">
            <w:pPr>
              <w:pStyle w:val="Initiativefigures"/>
            </w:pPr>
            <w:r w:rsidRPr="00973AF7">
              <w:t>2019-20</w:t>
            </w:r>
          </w:p>
          <w:p w14:paraId="6B92C27B" w14:textId="77777777" w:rsidR="007D7828" w:rsidRPr="00973AF7" w:rsidRDefault="007D7828" w:rsidP="007D7828">
            <w:pPr>
              <w:pStyle w:val="Initiativefigures"/>
            </w:pPr>
            <w:r w:rsidRPr="00973AF7">
              <w:t>$’000</w:t>
            </w:r>
          </w:p>
        </w:tc>
        <w:tc>
          <w:tcPr>
            <w:tcW w:w="1355" w:type="dxa"/>
            <w:tcBorders>
              <w:bottom w:val="single" w:sz="4" w:space="0" w:color="auto"/>
            </w:tcBorders>
          </w:tcPr>
          <w:p w14:paraId="783BDD7E" w14:textId="77777777" w:rsidR="007D7828" w:rsidRPr="00973AF7" w:rsidRDefault="007D7828" w:rsidP="007D7828">
            <w:pPr>
              <w:pStyle w:val="Initiativefigures"/>
            </w:pPr>
            <w:r w:rsidRPr="00973AF7">
              <w:t>2020-21</w:t>
            </w:r>
          </w:p>
          <w:p w14:paraId="2BAD31DF" w14:textId="77777777" w:rsidR="007D7828" w:rsidRPr="00973AF7" w:rsidRDefault="007D7828" w:rsidP="007D7828">
            <w:pPr>
              <w:pStyle w:val="Initiativefigures"/>
            </w:pPr>
            <w:r w:rsidRPr="00973AF7">
              <w:t>$’000</w:t>
            </w:r>
          </w:p>
        </w:tc>
        <w:tc>
          <w:tcPr>
            <w:tcW w:w="1245" w:type="dxa"/>
            <w:tcBorders>
              <w:bottom w:val="single" w:sz="4" w:space="0" w:color="auto"/>
            </w:tcBorders>
          </w:tcPr>
          <w:p w14:paraId="2E5EFEAC" w14:textId="77777777" w:rsidR="007D7828" w:rsidRPr="00973AF7" w:rsidRDefault="007D7828" w:rsidP="007D7828">
            <w:pPr>
              <w:pStyle w:val="Initiativefigures"/>
            </w:pPr>
            <w:r w:rsidRPr="00973AF7">
              <w:t>2021-22</w:t>
            </w:r>
          </w:p>
          <w:p w14:paraId="0D5CCAFA" w14:textId="77777777" w:rsidR="007D7828" w:rsidRPr="00973AF7" w:rsidRDefault="007D7828" w:rsidP="007D7828">
            <w:pPr>
              <w:pStyle w:val="Initiativefigures"/>
            </w:pPr>
            <w:r w:rsidRPr="00973AF7">
              <w:t>$’000</w:t>
            </w:r>
          </w:p>
        </w:tc>
        <w:tc>
          <w:tcPr>
            <w:tcW w:w="1245" w:type="dxa"/>
            <w:tcBorders>
              <w:bottom w:val="single" w:sz="4" w:space="0" w:color="auto"/>
            </w:tcBorders>
          </w:tcPr>
          <w:p w14:paraId="3BE39F07" w14:textId="77777777" w:rsidR="007D7828" w:rsidRPr="00973AF7" w:rsidRDefault="007D7828" w:rsidP="007D7828">
            <w:pPr>
              <w:pStyle w:val="Initiativefigures"/>
            </w:pPr>
            <w:r w:rsidRPr="00973AF7">
              <w:t>2022-23</w:t>
            </w:r>
          </w:p>
          <w:p w14:paraId="2658B0F4" w14:textId="77777777" w:rsidR="007D7828" w:rsidRPr="00973AF7" w:rsidRDefault="007D7828" w:rsidP="007D7828">
            <w:pPr>
              <w:pStyle w:val="Initiativefigures"/>
            </w:pPr>
            <w:r w:rsidRPr="00973AF7">
              <w:t>$’000</w:t>
            </w:r>
          </w:p>
        </w:tc>
        <w:tc>
          <w:tcPr>
            <w:tcW w:w="1540" w:type="dxa"/>
            <w:tcBorders>
              <w:bottom w:val="single" w:sz="4" w:space="0" w:color="auto"/>
            </w:tcBorders>
          </w:tcPr>
          <w:p w14:paraId="33893936" w14:textId="77777777" w:rsidR="007D7828" w:rsidRPr="00973AF7" w:rsidRDefault="007D7828" w:rsidP="007D7828">
            <w:pPr>
              <w:pStyle w:val="Initiativefigures"/>
              <w:rPr>
                <w:b/>
                <w:bCs/>
              </w:rPr>
            </w:pPr>
            <w:r w:rsidRPr="00973AF7">
              <w:rPr>
                <w:b/>
                <w:bCs/>
              </w:rPr>
              <w:t xml:space="preserve">Total </w:t>
            </w:r>
          </w:p>
          <w:p w14:paraId="3264ABC7" w14:textId="77777777" w:rsidR="007D7828" w:rsidRPr="00973AF7" w:rsidRDefault="007D7828" w:rsidP="007D7828">
            <w:pPr>
              <w:pStyle w:val="Initiativefigures"/>
              <w:rPr>
                <w:b/>
                <w:bCs/>
              </w:rPr>
            </w:pPr>
            <w:r w:rsidRPr="00973AF7">
              <w:rPr>
                <w:b/>
                <w:bCs/>
              </w:rPr>
              <w:t>$’000</w:t>
            </w:r>
          </w:p>
        </w:tc>
      </w:tr>
      <w:tr w:rsidR="007D7828" w:rsidRPr="00973AF7" w14:paraId="573AE7A7" w14:textId="77777777" w:rsidTr="007D7828">
        <w:tc>
          <w:tcPr>
            <w:tcW w:w="2373" w:type="dxa"/>
            <w:tcBorders>
              <w:bottom w:val="single" w:sz="4" w:space="0" w:color="auto"/>
            </w:tcBorders>
          </w:tcPr>
          <w:p w14:paraId="4591FDF9" w14:textId="77777777" w:rsidR="007D7828" w:rsidRPr="00973AF7" w:rsidRDefault="007D7828" w:rsidP="007D7828">
            <w:pPr>
              <w:pStyle w:val="Initiativetext"/>
            </w:pPr>
            <w:r w:rsidRPr="00973AF7">
              <w:t>Revenue forgone</w:t>
            </w:r>
          </w:p>
        </w:tc>
        <w:tc>
          <w:tcPr>
            <w:tcW w:w="1268" w:type="dxa"/>
            <w:tcBorders>
              <w:top w:val="nil"/>
              <w:left w:val="nil"/>
              <w:bottom w:val="single" w:sz="8" w:space="0" w:color="auto"/>
              <w:right w:val="nil"/>
            </w:tcBorders>
            <w:shd w:val="clear" w:color="auto" w:fill="auto"/>
            <w:vAlign w:val="center"/>
          </w:tcPr>
          <w:p w14:paraId="0CC92249" w14:textId="77777777" w:rsidR="007D7828" w:rsidRPr="00973AF7" w:rsidRDefault="007D7828" w:rsidP="007D7828">
            <w:pPr>
              <w:pStyle w:val="Initiativefigures"/>
            </w:pPr>
            <w:r w:rsidRPr="00973AF7">
              <w:rPr>
                <w:rFonts w:cs="Calibri"/>
                <w:color w:val="000000"/>
              </w:rPr>
              <w:t>1,200</w:t>
            </w:r>
          </w:p>
        </w:tc>
        <w:tc>
          <w:tcPr>
            <w:tcW w:w="1355" w:type="dxa"/>
            <w:tcBorders>
              <w:top w:val="nil"/>
              <w:left w:val="nil"/>
              <w:bottom w:val="single" w:sz="8" w:space="0" w:color="auto"/>
              <w:right w:val="nil"/>
            </w:tcBorders>
            <w:shd w:val="clear" w:color="auto" w:fill="auto"/>
            <w:vAlign w:val="center"/>
          </w:tcPr>
          <w:p w14:paraId="1B35026B" w14:textId="77777777" w:rsidR="007D7828" w:rsidRPr="00973AF7" w:rsidRDefault="007D7828" w:rsidP="007D7828">
            <w:pPr>
              <w:pStyle w:val="Initiativefigures"/>
            </w:pPr>
            <w:r w:rsidRPr="00973AF7">
              <w:rPr>
                <w:rFonts w:cs="Calibri"/>
                <w:color w:val="000000"/>
              </w:rPr>
              <w:t>3,978</w:t>
            </w:r>
          </w:p>
        </w:tc>
        <w:tc>
          <w:tcPr>
            <w:tcW w:w="1245" w:type="dxa"/>
            <w:tcBorders>
              <w:top w:val="nil"/>
              <w:left w:val="nil"/>
              <w:bottom w:val="single" w:sz="8" w:space="0" w:color="auto"/>
              <w:right w:val="nil"/>
            </w:tcBorders>
            <w:shd w:val="clear" w:color="auto" w:fill="auto"/>
            <w:vAlign w:val="center"/>
          </w:tcPr>
          <w:p w14:paraId="5BAA89AD" w14:textId="77777777" w:rsidR="007D7828" w:rsidRPr="00973AF7" w:rsidRDefault="007D7828" w:rsidP="007D7828">
            <w:pPr>
              <w:pStyle w:val="Initiativefigures"/>
            </w:pPr>
            <w:r w:rsidRPr="00973AF7">
              <w:rPr>
                <w:rFonts w:cs="Calibri"/>
                <w:color w:val="000000"/>
              </w:rPr>
              <w:t>0</w:t>
            </w:r>
          </w:p>
        </w:tc>
        <w:tc>
          <w:tcPr>
            <w:tcW w:w="1245" w:type="dxa"/>
            <w:tcBorders>
              <w:top w:val="nil"/>
              <w:left w:val="nil"/>
              <w:bottom w:val="single" w:sz="8" w:space="0" w:color="auto"/>
              <w:right w:val="nil"/>
            </w:tcBorders>
            <w:shd w:val="clear" w:color="auto" w:fill="auto"/>
            <w:vAlign w:val="center"/>
          </w:tcPr>
          <w:p w14:paraId="3870A4A3" w14:textId="77777777" w:rsidR="007D7828" w:rsidRPr="00973AF7" w:rsidRDefault="007D7828" w:rsidP="007D7828">
            <w:pPr>
              <w:pStyle w:val="Initiativefigures"/>
            </w:pPr>
            <w:r w:rsidRPr="00973AF7">
              <w:rPr>
                <w:rFonts w:cs="Calibri"/>
                <w:color w:val="000000"/>
              </w:rPr>
              <w:t>0</w:t>
            </w:r>
          </w:p>
        </w:tc>
        <w:tc>
          <w:tcPr>
            <w:tcW w:w="1540" w:type="dxa"/>
            <w:tcBorders>
              <w:top w:val="nil"/>
              <w:left w:val="nil"/>
              <w:bottom w:val="single" w:sz="8" w:space="0" w:color="auto"/>
              <w:right w:val="nil"/>
            </w:tcBorders>
            <w:shd w:val="clear" w:color="auto" w:fill="auto"/>
            <w:vAlign w:val="center"/>
          </w:tcPr>
          <w:p w14:paraId="5468E58B" w14:textId="77777777" w:rsidR="007D7828" w:rsidRPr="00973AF7" w:rsidRDefault="007D7828" w:rsidP="007D7828">
            <w:pPr>
              <w:pStyle w:val="Initiativefigures"/>
              <w:rPr>
                <w:b/>
                <w:bCs/>
              </w:rPr>
            </w:pPr>
            <w:r w:rsidRPr="00973AF7">
              <w:rPr>
                <w:rFonts w:cs="Calibri"/>
                <w:b/>
                <w:bCs/>
                <w:color w:val="000000"/>
              </w:rPr>
              <w:t>5,178</w:t>
            </w:r>
          </w:p>
        </w:tc>
      </w:tr>
    </w:tbl>
    <w:p w14:paraId="09D5C990" w14:textId="7932871E" w:rsidR="007D7828" w:rsidRPr="00973AF7" w:rsidRDefault="007D7828" w:rsidP="007D7828">
      <w:pPr>
        <w:pStyle w:val="Bbodytext"/>
      </w:pPr>
      <w:r w:rsidRPr="00973AF7">
        <w:t xml:space="preserve">The Government </w:t>
      </w:r>
      <w:r w:rsidR="00EF1794">
        <w:t>is providing</w:t>
      </w:r>
      <w:r w:rsidRPr="00973AF7">
        <w:t xml:space="preserve"> a 12-month waiver of food business registration and liquor licencing fees from 1 April 2020 for licenced venues and off-licenced venues with gross liquor purchase value of below $3 million per annum</w:t>
      </w:r>
      <w:r w:rsidR="00473880">
        <w:t xml:space="preserve">. </w:t>
      </w:r>
      <w:r w:rsidRPr="00973AF7">
        <w:t>The Government will also waive the application fee payable by businesses who wish to apply for a general liquor licence to convert their temporary ability to sell liquor off licence (i</w:t>
      </w:r>
      <w:r w:rsidR="00473880">
        <w:t>.</w:t>
      </w:r>
      <w:r w:rsidRPr="00973AF7">
        <w:t>e</w:t>
      </w:r>
      <w:r w:rsidR="00473880">
        <w:t xml:space="preserve">. </w:t>
      </w:r>
      <w:r w:rsidRPr="00973AF7">
        <w:t>for takeaway purchases) during the public health emergency into a permanent arrangement</w:t>
      </w:r>
      <w:r w:rsidR="00473880">
        <w:t xml:space="preserve">. </w:t>
      </w:r>
    </w:p>
    <w:p w14:paraId="69A24F42" w14:textId="4BAE9F12" w:rsidR="007D7828" w:rsidRDefault="007D7828" w:rsidP="007D7828">
      <w:pPr>
        <w:pStyle w:val="Bbodytext"/>
      </w:pPr>
      <w:r w:rsidRPr="00973AF7">
        <w:t xml:space="preserve">The Government will also waive outdoor dining fees in 2020-21 and establish a new sub-category of off liquor licences – the </w:t>
      </w:r>
      <w:proofErr w:type="gramStart"/>
      <w:r w:rsidRPr="00973AF7">
        <w:t>first year</w:t>
      </w:r>
      <w:proofErr w:type="gramEnd"/>
      <w:r w:rsidRPr="00973AF7">
        <w:t xml:space="preserve"> micro-producer licence</w:t>
      </w:r>
      <w:r w:rsidR="00473880">
        <w:t xml:space="preserve">. </w:t>
      </w:r>
      <w:r w:rsidRPr="00973AF7">
        <w:t>The licence application fee for this category will be set at $250, a 90 per cent discount on the standard off liquor licence application fee</w:t>
      </w:r>
      <w:r w:rsidR="00473880">
        <w:t xml:space="preserve">.  </w:t>
      </w:r>
    </w:p>
    <w:p w14:paraId="1FF17054" w14:textId="372FEEB5" w:rsidR="00A40C60" w:rsidRPr="00973AF7" w:rsidRDefault="00A40C60" w:rsidP="009C357F">
      <w:pPr>
        <w:pStyle w:val="Heading3"/>
        <w:keepNext w:val="0"/>
        <w:keepLines w:val="0"/>
        <w:rPr>
          <w:bCs/>
        </w:rPr>
      </w:pPr>
      <w:r w:rsidRPr="00973AF7">
        <w:t xml:space="preserve">Fee reduction – </w:t>
      </w:r>
      <w:r w:rsidR="003140C0">
        <w:t>o</w:t>
      </w:r>
      <w:r>
        <w:t>ne-year w</w:t>
      </w:r>
      <w:r w:rsidRPr="00973AF7">
        <w:t xml:space="preserve">aiver </w:t>
      </w:r>
      <w:r>
        <w:t xml:space="preserve">for </w:t>
      </w:r>
      <w:r w:rsidRPr="00973AF7">
        <w:t>other business fees</w:t>
      </w:r>
      <w:r w:rsidRPr="00973AF7">
        <w:rPr>
          <w:bCs/>
        </w:rPr>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5B94FF7D" w14:textId="77777777" w:rsidTr="00C72836">
        <w:tc>
          <w:tcPr>
            <w:tcW w:w="2510" w:type="dxa"/>
          </w:tcPr>
          <w:p w14:paraId="0C6F1A5D" w14:textId="77777777" w:rsidR="00A40C60" w:rsidRPr="00973AF7" w:rsidRDefault="00A40C60" w:rsidP="009C357F">
            <w:pPr>
              <w:pStyle w:val="Initiativefigures"/>
            </w:pPr>
          </w:p>
        </w:tc>
        <w:tc>
          <w:tcPr>
            <w:tcW w:w="1301" w:type="dxa"/>
          </w:tcPr>
          <w:p w14:paraId="1D531F14" w14:textId="77777777" w:rsidR="00A40C60" w:rsidRPr="00973AF7" w:rsidRDefault="00A40C60" w:rsidP="009C357F">
            <w:pPr>
              <w:pStyle w:val="Initiativefigures"/>
            </w:pPr>
            <w:r w:rsidRPr="00973AF7">
              <w:t>2019-20</w:t>
            </w:r>
          </w:p>
          <w:p w14:paraId="18DC0C13" w14:textId="77777777" w:rsidR="00A40C60" w:rsidRPr="00973AF7" w:rsidRDefault="00A40C60" w:rsidP="009C357F">
            <w:pPr>
              <w:pStyle w:val="Initiativefigures"/>
            </w:pPr>
            <w:r w:rsidRPr="00973AF7">
              <w:t>$’000</w:t>
            </w:r>
          </w:p>
        </w:tc>
        <w:tc>
          <w:tcPr>
            <w:tcW w:w="1301" w:type="dxa"/>
          </w:tcPr>
          <w:p w14:paraId="4CC7E528" w14:textId="77777777" w:rsidR="00A40C60" w:rsidRPr="00973AF7" w:rsidRDefault="00A40C60" w:rsidP="009C357F">
            <w:pPr>
              <w:pStyle w:val="Initiativefigures"/>
            </w:pPr>
            <w:r w:rsidRPr="00973AF7">
              <w:t>2020-21</w:t>
            </w:r>
          </w:p>
          <w:p w14:paraId="2BAF0879" w14:textId="77777777" w:rsidR="00A40C60" w:rsidRPr="00973AF7" w:rsidRDefault="00A40C60" w:rsidP="009C357F">
            <w:pPr>
              <w:pStyle w:val="Initiativefigures"/>
            </w:pPr>
            <w:r w:rsidRPr="00973AF7">
              <w:t>$’000</w:t>
            </w:r>
          </w:p>
        </w:tc>
        <w:tc>
          <w:tcPr>
            <w:tcW w:w="1301" w:type="dxa"/>
          </w:tcPr>
          <w:p w14:paraId="74E4D4BC" w14:textId="77777777" w:rsidR="00A40C60" w:rsidRPr="00973AF7" w:rsidRDefault="00A40C60" w:rsidP="009C357F">
            <w:pPr>
              <w:pStyle w:val="Initiativefigures"/>
            </w:pPr>
            <w:r w:rsidRPr="00973AF7">
              <w:t>2021-22</w:t>
            </w:r>
          </w:p>
          <w:p w14:paraId="09C214C8" w14:textId="77777777" w:rsidR="00A40C60" w:rsidRPr="00973AF7" w:rsidRDefault="00A40C60" w:rsidP="009C357F">
            <w:pPr>
              <w:pStyle w:val="Initiativefigures"/>
            </w:pPr>
            <w:r w:rsidRPr="00973AF7">
              <w:t>$’000</w:t>
            </w:r>
          </w:p>
        </w:tc>
        <w:tc>
          <w:tcPr>
            <w:tcW w:w="1301" w:type="dxa"/>
          </w:tcPr>
          <w:p w14:paraId="75A3E018" w14:textId="77777777" w:rsidR="00A40C60" w:rsidRPr="00973AF7" w:rsidRDefault="00A40C60" w:rsidP="009C357F">
            <w:pPr>
              <w:pStyle w:val="Initiativefigures"/>
            </w:pPr>
            <w:r w:rsidRPr="00973AF7">
              <w:t>2022-23</w:t>
            </w:r>
          </w:p>
          <w:p w14:paraId="2AD8F5B3" w14:textId="77777777" w:rsidR="00A40C60" w:rsidRPr="00973AF7" w:rsidRDefault="00A40C60" w:rsidP="009C357F">
            <w:pPr>
              <w:pStyle w:val="Initiativefigures"/>
            </w:pPr>
            <w:r w:rsidRPr="00973AF7">
              <w:t>$’000</w:t>
            </w:r>
          </w:p>
        </w:tc>
        <w:tc>
          <w:tcPr>
            <w:tcW w:w="1302" w:type="dxa"/>
          </w:tcPr>
          <w:p w14:paraId="6056ACF7" w14:textId="77777777" w:rsidR="00A40C60" w:rsidRPr="00973AF7" w:rsidRDefault="00A40C60" w:rsidP="009C357F">
            <w:pPr>
              <w:pStyle w:val="Initiativefigures"/>
              <w:rPr>
                <w:b/>
                <w:bCs/>
              </w:rPr>
            </w:pPr>
            <w:r w:rsidRPr="00973AF7">
              <w:rPr>
                <w:b/>
                <w:bCs/>
              </w:rPr>
              <w:t xml:space="preserve">Total </w:t>
            </w:r>
          </w:p>
          <w:p w14:paraId="783670DE" w14:textId="77777777" w:rsidR="00A40C60" w:rsidRPr="00973AF7" w:rsidRDefault="00A40C60" w:rsidP="009C357F">
            <w:pPr>
              <w:pStyle w:val="Initiativefigures"/>
              <w:rPr>
                <w:b/>
                <w:bCs/>
              </w:rPr>
            </w:pPr>
            <w:r w:rsidRPr="00973AF7">
              <w:rPr>
                <w:b/>
                <w:bCs/>
              </w:rPr>
              <w:t>$’000</w:t>
            </w:r>
          </w:p>
        </w:tc>
      </w:tr>
      <w:tr w:rsidR="00A40C60" w:rsidRPr="00973AF7" w14:paraId="49811478" w14:textId="77777777" w:rsidTr="00C72836">
        <w:tc>
          <w:tcPr>
            <w:tcW w:w="2510" w:type="dxa"/>
          </w:tcPr>
          <w:p w14:paraId="7E1A4E93" w14:textId="77777777" w:rsidR="00A40C60" w:rsidRPr="00973AF7" w:rsidRDefault="00A40C60" w:rsidP="009C357F">
            <w:pPr>
              <w:pStyle w:val="Initiativetext"/>
            </w:pPr>
            <w:r w:rsidRPr="00973AF7">
              <w:t>Revenue forgone</w:t>
            </w:r>
          </w:p>
        </w:tc>
        <w:tc>
          <w:tcPr>
            <w:tcW w:w="1301" w:type="dxa"/>
          </w:tcPr>
          <w:p w14:paraId="52455A62" w14:textId="77777777" w:rsidR="00A40C60" w:rsidRPr="00973AF7" w:rsidRDefault="00A40C60" w:rsidP="009C357F">
            <w:pPr>
              <w:pStyle w:val="Initiativefigures"/>
            </w:pPr>
            <w:r w:rsidRPr="00973AF7">
              <w:t>29</w:t>
            </w:r>
          </w:p>
        </w:tc>
        <w:tc>
          <w:tcPr>
            <w:tcW w:w="1301" w:type="dxa"/>
          </w:tcPr>
          <w:p w14:paraId="49A93A8B" w14:textId="77777777" w:rsidR="00A40C60" w:rsidRPr="00973AF7" w:rsidRDefault="00A40C60" w:rsidP="009C357F">
            <w:pPr>
              <w:pStyle w:val="Initiativefigures"/>
            </w:pPr>
            <w:r w:rsidRPr="00973AF7">
              <w:t>89</w:t>
            </w:r>
          </w:p>
        </w:tc>
        <w:tc>
          <w:tcPr>
            <w:tcW w:w="1301" w:type="dxa"/>
          </w:tcPr>
          <w:p w14:paraId="7C37B145" w14:textId="77777777" w:rsidR="00A40C60" w:rsidRPr="00973AF7" w:rsidRDefault="00A40C60" w:rsidP="009C357F">
            <w:pPr>
              <w:pStyle w:val="Initiativefigures"/>
            </w:pPr>
            <w:r w:rsidRPr="00973AF7">
              <w:t>0</w:t>
            </w:r>
          </w:p>
        </w:tc>
        <w:tc>
          <w:tcPr>
            <w:tcW w:w="1301" w:type="dxa"/>
          </w:tcPr>
          <w:p w14:paraId="7F98AEE8" w14:textId="77777777" w:rsidR="00A40C60" w:rsidRPr="00973AF7" w:rsidRDefault="00A40C60" w:rsidP="009C357F">
            <w:pPr>
              <w:pStyle w:val="Initiativefigures"/>
            </w:pPr>
            <w:r w:rsidRPr="00973AF7">
              <w:t>0</w:t>
            </w:r>
          </w:p>
        </w:tc>
        <w:tc>
          <w:tcPr>
            <w:tcW w:w="1302" w:type="dxa"/>
          </w:tcPr>
          <w:p w14:paraId="1F7AEA74" w14:textId="77777777" w:rsidR="00A40C60" w:rsidRPr="00973AF7" w:rsidRDefault="00A40C60" w:rsidP="009C357F">
            <w:pPr>
              <w:pStyle w:val="Initiativefigures"/>
              <w:rPr>
                <w:b/>
                <w:bCs/>
              </w:rPr>
            </w:pPr>
            <w:r w:rsidRPr="00973AF7">
              <w:rPr>
                <w:b/>
                <w:bCs/>
              </w:rPr>
              <w:t>118</w:t>
            </w:r>
          </w:p>
        </w:tc>
      </w:tr>
    </w:tbl>
    <w:p w14:paraId="77FB1F80" w14:textId="58A5A33B" w:rsidR="00A40C60" w:rsidRPr="00973AF7" w:rsidRDefault="00A40C60" w:rsidP="009C357F">
      <w:pPr>
        <w:pStyle w:val="Bbodytext"/>
      </w:pPr>
      <w:r w:rsidRPr="00973AF7">
        <w:t xml:space="preserve">The Government </w:t>
      </w:r>
      <w:r w:rsidR="00EF1794">
        <w:t>is providing</w:t>
      </w:r>
      <w:r w:rsidRPr="00973AF7">
        <w:t xml:space="preserve"> a fee waiver for 12 months for businesses that require infection control licensing, which includes businesses such as beauty therapists, nail salons, tattoo parlours and dentists</w:t>
      </w:r>
      <w:r w:rsidR="00473880">
        <w:t xml:space="preserve">. </w:t>
      </w:r>
    </w:p>
    <w:p w14:paraId="77F45E85" w14:textId="0F323FCF" w:rsidR="00A40C60" w:rsidRPr="00973AF7" w:rsidRDefault="00A40C60" w:rsidP="009C357F">
      <w:pPr>
        <w:pStyle w:val="Bbodytext"/>
      </w:pPr>
      <w:r w:rsidRPr="00973AF7">
        <w:t>This fee waiver will be automatically applied through the normal licencing process, and businesses do not need to contact Health Protection Services</w:t>
      </w:r>
      <w:r w:rsidR="00473880">
        <w:t xml:space="preserve">.  </w:t>
      </w:r>
    </w:p>
    <w:p w14:paraId="73A3284E" w14:textId="30B1EEFF" w:rsidR="007D7828" w:rsidRPr="00973AF7" w:rsidRDefault="007D7828" w:rsidP="007D7828">
      <w:pPr>
        <w:pStyle w:val="Heading3"/>
      </w:pPr>
      <w:r w:rsidRPr="00973AF7">
        <w:lastRenderedPageBreak/>
        <w:t xml:space="preserve">Fee reduction </w:t>
      </w:r>
      <w:bookmarkStart w:id="4" w:name="_Hlk43405763"/>
      <w:r w:rsidRPr="00973AF7">
        <w:t xml:space="preserve">– </w:t>
      </w:r>
      <w:r w:rsidR="003140C0">
        <w:t>o</w:t>
      </w:r>
      <w:r w:rsidRPr="00973AF7">
        <w:t xml:space="preserve">ne-year </w:t>
      </w:r>
      <w:bookmarkEnd w:id="4"/>
      <w:r w:rsidRPr="00973AF7">
        <w:t>waiver for ride share and hire car fees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416E3366" w14:textId="77777777" w:rsidTr="007D7828">
        <w:tc>
          <w:tcPr>
            <w:tcW w:w="2510" w:type="dxa"/>
            <w:tcBorders>
              <w:bottom w:val="single" w:sz="4" w:space="0" w:color="auto"/>
            </w:tcBorders>
          </w:tcPr>
          <w:p w14:paraId="554E27C1" w14:textId="77777777" w:rsidR="007D7828" w:rsidRPr="00973AF7" w:rsidRDefault="007D7828" w:rsidP="007D7828">
            <w:pPr>
              <w:pStyle w:val="Initiativefigures"/>
              <w:keepNext/>
              <w:keepLines/>
            </w:pPr>
          </w:p>
        </w:tc>
        <w:tc>
          <w:tcPr>
            <w:tcW w:w="1301" w:type="dxa"/>
            <w:tcBorders>
              <w:bottom w:val="single" w:sz="4" w:space="0" w:color="auto"/>
            </w:tcBorders>
          </w:tcPr>
          <w:p w14:paraId="3257F4DA" w14:textId="77777777" w:rsidR="007D7828" w:rsidRPr="00973AF7" w:rsidRDefault="007D7828" w:rsidP="007D7828">
            <w:pPr>
              <w:pStyle w:val="Initiativefigures"/>
              <w:keepNext/>
              <w:keepLines/>
            </w:pPr>
            <w:r w:rsidRPr="00973AF7">
              <w:t>2019-20</w:t>
            </w:r>
          </w:p>
          <w:p w14:paraId="73590B96"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3A1E62C4" w14:textId="77777777" w:rsidR="007D7828" w:rsidRPr="00973AF7" w:rsidRDefault="007D7828" w:rsidP="007D7828">
            <w:pPr>
              <w:pStyle w:val="Initiativefigures"/>
              <w:keepNext/>
              <w:keepLines/>
            </w:pPr>
            <w:r w:rsidRPr="00973AF7">
              <w:t>2020-21</w:t>
            </w:r>
          </w:p>
          <w:p w14:paraId="3ABFDAFC"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6D40D0F5" w14:textId="77777777" w:rsidR="007D7828" w:rsidRPr="00973AF7" w:rsidRDefault="007D7828" w:rsidP="007D7828">
            <w:pPr>
              <w:pStyle w:val="Initiativefigures"/>
              <w:keepNext/>
              <w:keepLines/>
            </w:pPr>
            <w:r w:rsidRPr="00973AF7">
              <w:t>2021-22</w:t>
            </w:r>
          </w:p>
          <w:p w14:paraId="6A9D37EB" w14:textId="77777777" w:rsidR="007D7828" w:rsidRPr="00973AF7" w:rsidRDefault="007D7828" w:rsidP="007D7828">
            <w:pPr>
              <w:pStyle w:val="Initiativefigures"/>
              <w:keepNext/>
              <w:keepLines/>
            </w:pPr>
            <w:r w:rsidRPr="00973AF7">
              <w:t>$’000</w:t>
            </w:r>
          </w:p>
        </w:tc>
        <w:tc>
          <w:tcPr>
            <w:tcW w:w="1301" w:type="dxa"/>
            <w:tcBorders>
              <w:bottom w:val="single" w:sz="4" w:space="0" w:color="auto"/>
            </w:tcBorders>
          </w:tcPr>
          <w:p w14:paraId="2C772862" w14:textId="77777777" w:rsidR="007D7828" w:rsidRPr="00973AF7" w:rsidRDefault="007D7828" w:rsidP="007D7828">
            <w:pPr>
              <w:pStyle w:val="Initiativefigures"/>
              <w:keepNext/>
              <w:keepLines/>
            </w:pPr>
            <w:r w:rsidRPr="00973AF7">
              <w:t>2022-23</w:t>
            </w:r>
          </w:p>
          <w:p w14:paraId="725514A9" w14:textId="77777777" w:rsidR="007D7828" w:rsidRPr="00973AF7" w:rsidRDefault="007D7828" w:rsidP="007D7828">
            <w:pPr>
              <w:pStyle w:val="Initiativefigures"/>
              <w:keepNext/>
              <w:keepLines/>
            </w:pPr>
            <w:r w:rsidRPr="00973AF7">
              <w:t>$’000</w:t>
            </w:r>
          </w:p>
        </w:tc>
        <w:tc>
          <w:tcPr>
            <w:tcW w:w="1302" w:type="dxa"/>
            <w:tcBorders>
              <w:bottom w:val="single" w:sz="4" w:space="0" w:color="auto"/>
            </w:tcBorders>
          </w:tcPr>
          <w:p w14:paraId="45068829" w14:textId="77777777" w:rsidR="007D7828" w:rsidRPr="00973AF7" w:rsidRDefault="007D7828" w:rsidP="007D7828">
            <w:pPr>
              <w:pStyle w:val="Initiativefigures"/>
              <w:keepNext/>
              <w:keepLines/>
              <w:rPr>
                <w:b/>
                <w:bCs/>
              </w:rPr>
            </w:pPr>
            <w:r w:rsidRPr="00973AF7">
              <w:rPr>
                <w:b/>
                <w:bCs/>
              </w:rPr>
              <w:t xml:space="preserve">Total </w:t>
            </w:r>
          </w:p>
          <w:p w14:paraId="26A274F9" w14:textId="77777777" w:rsidR="007D7828" w:rsidRPr="00973AF7" w:rsidRDefault="007D7828" w:rsidP="007D7828">
            <w:pPr>
              <w:pStyle w:val="Initiativefigures"/>
              <w:keepNext/>
              <w:keepLines/>
              <w:rPr>
                <w:b/>
                <w:bCs/>
              </w:rPr>
            </w:pPr>
            <w:r w:rsidRPr="00973AF7">
              <w:rPr>
                <w:b/>
                <w:bCs/>
              </w:rPr>
              <w:t>$’000</w:t>
            </w:r>
          </w:p>
        </w:tc>
      </w:tr>
      <w:tr w:rsidR="007D7828" w:rsidRPr="00973AF7" w14:paraId="512A8E65" w14:textId="77777777" w:rsidTr="007D7828">
        <w:tc>
          <w:tcPr>
            <w:tcW w:w="2510" w:type="dxa"/>
            <w:tcBorders>
              <w:bottom w:val="single" w:sz="4" w:space="0" w:color="auto"/>
            </w:tcBorders>
          </w:tcPr>
          <w:p w14:paraId="3BB699B6" w14:textId="77777777" w:rsidR="007D7828" w:rsidRPr="00973AF7" w:rsidRDefault="007D7828" w:rsidP="007D7828">
            <w:pPr>
              <w:pStyle w:val="Initiativetext"/>
              <w:keepNext/>
              <w:keepLines/>
            </w:pPr>
            <w:r w:rsidRPr="00973AF7">
              <w:t>Revenue forgone</w:t>
            </w:r>
          </w:p>
        </w:tc>
        <w:tc>
          <w:tcPr>
            <w:tcW w:w="1301" w:type="dxa"/>
            <w:tcBorders>
              <w:bottom w:val="single" w:sz="4" w:space="0" w:color="auto"/>
            </w:tcBorders>
          </w:tcPr>
          <w:p w14:paraId="6733A3CC" w14:textId="77777777" w:rsidR="007D7828" w:rsidRPr="00973AF7" w:rsidRDefault="007D7828" w:rsidP="007D7828">
            <w:pPr>
              <w:pStyle w:val="Initiativefigures"/>
              <w:keepNext/>
              <w:keepLines/>
            </w:pPr>
            <w:r w:rsidRPr="00973AF7">
              <w:t>55</w:t>
            </w:r>
          </w:p>
        </w:tc>
        <w:tc>
          <w:tcPr>
            <w:tcW w:w="1301" w:type="dxa"/>
            <w:tcBorders>
              <w:bottom w:val="single" w:sz="4" w:space="0" w:color="auto"/>
            </w:tcBorders>
          </w:tcPr>
          <w:p w14:paraId="431FAA4B" w14:textId="77777777" w:rsidR="007D7828" w:rsidRPr="00973AF7" w:rsidRDefault="007D7828" w:rsidP="007D7828">
            <w:pPr>
              <w:pStyle w:val="Initiativefigures"/>
              <w:keepNext/>
              <w:keepLines/>
            </w:pPr>
            <w:r w:rsidRPr="00973AF7">
              <w:t>155</w:t>
            </w:r>
          </w:p>
        </w:tc>
        <w:tc>
          <w:tcPr>
            <w:tcW w:w="1301" w:type="dxa"/>
            <w:tcBorders>
              <w:bottom w:val="single" w:sz="4" w:space="0" w:color="auto"/>
            </w:tcBorders>
          </w:tcPr>
          <w:p w14:paraId="30D4C947" w14:textId="77777777" w:rsidR="007D7828" w:rsidRPr="00973AF7" w:rsidRDefault="007D7828" w:rsidP="007D7828">
            <w:pPr>
              <w:pStyle w:val="Initiativefigures"/>
              <w:keepNext/>
              <w:keepLines/>
            </w:pPr>
            <w:r w:rsidRPr="00973AF7">
              <w:t>0</w:t>
            </w:r>
          </w:p>
        </w:tc>
        <w:tc>
          <w:tcPr>
            <w:tcW w:w="1301" w:type="dxa"/>
            <w:tcBorders>
              <w:bottom w:val="single" w:sz="4" w:space="0" w:color="auto"/>
            </w:tcBorders>
          </w:tcPr>
          <w:p w14:paraId="6E3A6DF3" w14:textId="77777777" w:rsidR="007D7828" w:rsidRPr="00973AF7" w:rsidRDefault="007D7828" w:rsidP="007D7828">
            <w:pPr>
              <w:pStyle w:val="Initiativefigures"/>
              <w:keepNext/>
              <w:keepLines/>
            </w:pPr>
            <w:r w:rsidRPr="00973AF7">
              <w:t>0</w:t>
            </w:r>
          </w:p>
        </w:tc>
        <w:tc>
          <w:tcPr>
            <w:tcW w:w="1302" w:type="dxa"/>
            <w:tcBorders>
              <w:bottom w:val="single" w:sz="4" w:space="0" w:color="auto"/>
            </w:tcBorders>
          </w:tcPr>
          <w:p w14:paraId="5298F637" w14:textId="77777777" w:rsidR="007D7828" w:rsidRPr="00973AF7" w:rsidRDefault="007D7828" w:rsidP="007D7828">
            <w:pPr>
              <w:pStyle w:val="Initiativefigures"/>
              <w:keepNext/>
              <w:keepLines/>
              <w:rPr>
                <w:b/>
                <w:bCs/>
              </w:rPr>
            </w:pPr>
            <w:r w:rsidRPr="00973AF7">
              <w:rPr>
                <w:b/>
                <w:bCs/>
              </w:rPr>
              <w:t>210</w:t>
            </w:r>
          </w:p>
        </w:tc>
      </w:tr>
    </w:tbl>
    <w:p w14:paraId="68A5A08A" w14:textId="2ECD071F" w:rsidR="007D7828" w:rsidRPr="00973AF7" w:rsidRDefault="007D7828" w:rsidP="007D7828">
      <w:pPr>
        <w:pStyle w:val="Bbodytext"/>
        <w:keepNext/>
        <w:keepLines/>
      </w:pPr>
      <w:r w:rsidRPr="00973AF7">
        <w:t xml:space="preserve">The Government </w:t>
      </w:r>
      <w:r w:rsidR="00EF1794">
        <w:t>is waiving</w:t>
      </w:r>
      <w:r w:rsidRPr="00973AF7">
        <w:t xml:space="preserve"> rideshare vehicle and hire car licence fees for 12 months for from 1 April 2020 as part of the normal licencing processes</w:t>
      </w:r>
      <w:r w:rsidR="00473880">
        <w:t xml:space="preserve">. </w:t>
      </w:r>
      <w:r w:rsidRPr="00973AF7">
        <w:t>This will assist workers who provide ride share services</w:t>
      </w:r>
      <w:r w:rsidR="00473880">
        <w:t xml:space="preserve">.  </w:t>
      </w:r>
    </w:p>
    <w:p w14:paraId="350CC4E5" w14:textId="7BB9532D" w:rsidR="007D7828" w:rsidRPr="00973AF7" w:rsidRDefault="007D7828" w:rsidP="007D7828">
      <w:pPr>
        <w:pStyle w:val="Bbodytext"/>
        <w:keepNext/>
        <w:keepLines/>
      </w:pPr>
      <w:r w:rsidRPr="00973AF7">
        <w:t>This fee waiver will be automatically applied through the normal licencing process</w:t>
      </w:r>
      <w:r w:rsidR="00473880">
        <w:t xml:space="preserve">. </w:t>
      </w:r>
      <w:r w:rsidRPr="00973AF7">
        <w:rPr>
          <w:rFonts w:cstheme="minorHAnsi"/>
        </w:rPr>
        <w:t xml:space="preserve">In cases </w:t>
      </w:r>
      <w:r w:rsidRPr="00973AF7">
        <w:t>where</w:t>
      </w:r>
      <w:r w:rsidRPr="00973AF7">
        <w:rPr>
          <w:rFonts w:cstheme="minorHAnsi"/>
        </w:rPr>
        <w:t xml:space="preserve"> fees have been prepaid, a credit will be provided at the next due date</w:t>
      </w:r>
      <w:r w:rsidR="00473880">
        <w:rPr>
          <w:rFonts w:cstheme="minorHAnsi"/>
        </w:rPr>
        <w:t xml:space="preserve">.  </w:t>
      </w:r>
    </w:p>
    <w:p w14:paraId="4AB9EE2C" w14:textId="0F7660F0" w:rsidR="007D7828" w:rsidRPr="00973AF7" w:rsidRDefault="007D7828" w:rsidP="007D7828">
      <w:pPr>
        <w:pStyle w:val="Heading3"/>
      </w:pPr>
      <w:r w:rsidRPr="00973AF7">
        <w:t xml:space="preserve">Fee reduction </w:t>
      </w:r>
      <w:r w:rsidR="003140C0" w:rsidRPr="00973AF7">
        <w:t xml:space="preserve">– </w:t>
      </w:r>
      <w:r w:rsidR="003140C0">
        <w:t>o</w:t>
      </w:r>
      <w:r w:rsidR="003140C0" w:rsidRPr="00973AF7">
        <w:t xml:space="preserve">ne-year </w:t>
      </w:r>
      <w:r w:rsidRPr="00973AF7">
        <w:t>waiver for taxi license fees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D7828" w:rsidRPr="00973AF7" w14:paraId="2A6B4C75" w14:textId="77777777" w:rsidTr="007D7828">
        <w:tc>
          <w:tcPr>
            <w:tcW w:w="2510" w:type="dxa"/>
            <w:tcBorders>
              <w:bottom w:val="single" w:sz="4" w:space="0" w:color="auto"/>
            </w:tcBorders>
          </w:tcPr>
          <w:p w14:paraId="59F2F9BB" w14:textId="77777777" w:rsidR="007D7828" w:rsidRPr="00973AF7" w:rsidRDefault="007D7828" w:rsidP="007D7828">
            <w:pPr>
              <w:pStyle w:val="Initiativefigures"/>
            </w:pPr>
          </w:p>
        </w:tc>
        <w:tc>
          <w:tcPr>
            <w:tcW w:w="1301" w:type="dxa"/>
            <w:tcBorders>
              <w:bottom w:val="single" w:sz="4" w:space="0" w:color="auto"/>
            </w:tcBorders>
          </w:tcPr>
          <w:p w14:paraId="59635C6A" w14:textId="77777777" w:rsidR="007D7828" w:rsidRPr="00973AF7" w:rsidRDefault="007D7828" w:rsidP="007D7828">
            <w:pPr>
              <w:pStyle w:val="Initiativefigures"/>
            </w:pPr>
            <w:r w:rsidRPr="00973AF7">
              <w:t>2019-20</w:t>
            </w:r>
          </w:p>
          <w:p w14:paraId="53DD3469"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68307B2E" w14:textId="77777777" w:rsidR="007D7828" w:rsidRPr="00973AF7" w:rsidRDefault="007D7828" w:rsidP="007D7828">
            <w:pPr>
              <w:pStyle w:val="Initiativefigures"/>
            </w:pPr>
            <w:r w:rsidRPr="00973AF7">
              <w:t>2020-21</w:t>
            </w:r>
          </w:p>
          <w:p w14:paraId="26F28827"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415DFDFC" w14:textId="77777777" w:rsidR="007D7828" w:rsidRPr="00973AF7" w:rsidRDefault="007D7828" w:rsidP="007D7828">
            <w:pPr>
              <w:pStyle w:val="Initiativefigures"/>
            </w:pPr>
            <w:r w:rsidRPr="00973AF7">
              <w:t>2021-22</w:t>
            </w:r>
          </w:p>
          <w:p w14:paraId="4DE580C4" w14:textId="77777777" w:rsidR="007D7828" w:rsidRPr="00973AF7" w:rsidRDefault="007D7828" w:rsidP="007D7828">
            <w:pPr>
              <w:pStyle w:val="Initiativefigures"/>
            </w:pPr>
            <w:r w:rsidRPr="00973AF7">
              <w:t>$’000</w:t>
            </w:r>
          </w:p>
        </w:tc>
        <w:tc>
          <w:tcPr>
            <w:tcW w:w="1301" w:type="dxa"/>
            <w:tcBorders>
              <w:bottom w:val="single" w:sz="4" w:space="0" w:color="auto"/>
            </w:tcBorders>
          </w:tcPr>
          <w:p w14:paraId="7889BF55" w14:textId="77777777" w:rsidR="007D7828" w:rsidRPr="00973AF7" w:rsidRDefault="007D7828" w:rsidP="007D7828">
            <w:pPr>
              <w:pStyle w:val="Initiativefigures"/>
            </w:pPr>
            <w:r w:rsidRPr="00973AF7">
              <w:t>2022-23</w:t>
            </w:r>
          </w:p>
          <w:p w14:paraId="577E21CE" w14:textId="77777777" w:rsidR="007D7828" w:rsidRPr="00973AF7" w:rsidRDefault="007D7828" w:rsidP="007D7828">
            <w:pPr>
              <w:pStyle w:val="Initiativefigures"/>
            </w:pPr>
            <w:r w:rsidRPr="00973AF7">
              <w:t>$’000</w:t>
            </w:r>
          </w:p>
        </w:tc>
        <w:tc>
          <w:tcPr>
            <w:tcW w:w="1302" w:type="dxa"/>
            <w:tcBorders>
              <w:bottom w:val="single" w:sz="4" w:space="0" w:color="auto"/>
            </w:tcBorders>
          </w:tcPr>
          <w:p w14:paraId="1CE3B47B" w14:textId="77777777" w:rsidR="007D7828" w:rsidRPr="00973AF7" w:rsidRDefault="007D7828" w:rsidP="007D7828">
            <w:pPr>
              <w:pStyle w:val="Initiativefigures"/>
              <w:rPr>
                <w:b/>
                <w:bCs/>
              </w:rPr>
            </w:pPr>
            <w:r w:rsidRPr="00973AF7">
              <w:rPr>
                <w:b/>
                <w:bCs/>
              </w:rPr>
              <w:t xml:space="preserve">Total </w:t>
            </w:r>
          </w:p>
          <w:p w14:paraId="668F8196" w14:textId="77777777" w:rsidR="007D7828" w:rsidRPr="00973AF7" w:rsidRDefault="007D7828" w:rsidP="007D7828">
            <w:pPr>
              <w:pStyle w:val="Initiativefigures"/>
              <w:rPr>
                <w:b/>
                <w:bCs/>
              </w:rPr>
            </w:pPr>
            <w:r w:rsidRPr="00973AF7">
              <w:rPr>
                <w:b/>
                <w:bCs/>
              </w:rPr>
              <w:t>$’000</w:t>
            </w:r>
          </w:p>
        </w:tc>
      </w:tr>
      <w:tr w:rsidR="007D7828" w:rsidRPr="00973AF7" w14:paraId="5B3FD1E9" w14:textId="77777777" w:rsidTr="007D7828">
        <w:tc>
          <w:tcPr>
            <w:tcW w:w="2510" w:type="dxa"/>
            <w:tcBorders>
              <w:bottom w:val="single" w:sz="4" w:space="0" w:color="auto"/>
            </w:tcBorders>
          </w:tcPr>
          <w:p w14:paraId="7160ECBB" w14:textId="77777777" w:rsidR="007D7828" w:rsidRPr="00973AF7" w:rsidRDefault="007D7828" w:rsidP="007D7828">
            <w:pPr>
              <w:pStyle w:val="Initiativetext"/>
            </w:pPr>
            <w:r w:rsidRPr="00973AF7">
              <w:t>Revenue forgone</w:t>
            </w:r>
          </w:p>
        </w:tc>
        <w:tc>
          <w:tcPr>
            <w:tcW w:w="1301" w:type="dxa"/>
            <w:tcBorders>
              <w:bottom w:val="single" w:sz="4" w:space="0" w:color="auto"/>
            </w:tcBorders>
          </w:tcPr>
          <w:p w14:paraId="2E66C609" w14:textId="77777777" w:rsidR="007D7828" w:rsidRPr="00973AF7" w:rsidRDefault="007D7828" w:rsidP="007D7828">
            <w:pPr>
              <w:pStyle w:val="Initiativefigures"/>
            </w:pPr>
            <w:r w:rsidRPr="00973AF7">
              <w:t>220</w:t>
            </w:r>
          </w:p>
        </w:tc>
        <w:tc>
          <w:tcPr>
            <w:tcW w:w="1301" w:type="dxa"/>
            <w:tcBorders>
              <w:bottom w:val="single" w:sz="4" w:space="0" w:color="auto"/>
            </w:tcBorders>
          </w:tcPr>
          <w:p w14:paraId="37C803BD" w14:textId="77777777" w:rsidR="007D7828" w:rsidRPr="00973AF7" w:rsidRDefault="007D7828" w:rsidP="007D7828">
            <w:pPr>
              <w:pStyle w:val="Initiativefigures"/>
            </w:pPr>
            <w:r w:rsidRPr="00973AF7">
              <w:t>660</w:t>
            </w:r>
          </w:p>
        </w:tc>
        <w:tc>
          <w:tcPr>
            <w:tcW w:w="1301" w:type="dxa"/>
            <w:tcBorders>
              <w:bottom w:val="single" w:sz="4" w:space="0" w:color="auto"/>
            </w:tcBorders>
          </w:tcPr>
          <w:p w14:paraId="0F44338B" w14:textId="77777777" w:rsidR="007D7828" w:rsidRPr="00973AF7" w:rsidRDefault="007D7828" w:rsidP="007D7828">
            <w:pPr>
              <w:pStyle w:val="Initiativefigures"/>
            </w:pPr>
            <w:r w:rsidRPr="00973AF7">
              <w:t>0</w:t>
            </w:r>
          </w:p>
        </w:tc>
        <w:tc>
          <w:tcPr>
            <w:tcW w:w="1301" w:type="dxa"/>
            <w:tcBorders>
              <w:bottom w:val="single" w:sz="4" w:space="0" w:color="auto"/>
            </w:tcBorders>
          </w:tcPr>
          <w:p w14:paraId="467A12B8" w14:textId="77777777" w:rsidR="007D7828" w:rsidRPr="00973AF7" w:rsidRDefault="007D7828" w:rsidP="007D7828">
            <w:pPr>
              <w:pStyle w:val="Initiativefigures"/>
            </w:pPr>
            <w:r w:rsidRPr="00973AF7">
              <w:t>0</w:t>
            </w:r>
          </w:p>
        </w:tc>
        <w:tc>
          <w:tcPr>
            <w:tcW w:w="1302" w:type="dxa"/>
            <w:tcBorders>
              <w:bottom w:val="single" w:sz="4" w:space="0" w:color="auto"/>
            </w:tcBorders>
          </w:tcPr>
          <w:p w14:paraId="542CF1A9" w14:textId="77777777" w:rsidR="007D7828" w:rsidRPr="00973AF7" w:rsidRDefault="007D7828" w:rsidP="007D7828">
            <w:pPr>
              <w:pStyle w:val="Initiativefigures"/>
              <w:rPr>
                <w:b/>
                <w:bCs/>
              </w:rPr>
            </w:pPr>
            <w:r w:rsidRPr="00973AF7">
              <w:rPr>
                <w:b/>
                <w:bCs/>
              </w:rPr>
              <w:t>880</w:t>
            </w:r>
          </w:p>
        </w:tc>
      </w:tr>
    </w:tbl>
    <w:p w14:paraId="3A64B89A" w14:textId="6D4137BE" w:rsidR="007D7828" w:rsidRPr="00973AF7" w:rsidRDefault="007D7828" w:rsidP="007D7828">
      <w:pPr>
        <w:pStyle w:val="Bbodytext"/>
      </w:pPr>
      <w:r w:rsidRPr="00973AF7">
        <w:t xml:space="preserve">The Government </w:t>
      </w:r>
      <w:r w:rsidR="00EF1794">
        <w:t>is waiving</w:t>
      </w:r>
      <w:r w:rsidRPr="00973AF7">
        <w:t xml:space="preserve"> all Government-leased taxi plate fees ($5,000 for one year), including wheelchair accessible taxis to help support this vital service</w:t>
      </w:r>
      <w:r w:rsidR="00473880">
        <w:t xml:space="preserve">. </w:t>
      </w:r>
    </w:p>
    <w:p w14:paraId="450AC76F" w14:textId="7E3E4622" w:rsidR="007D7828" w:rsidRPr="00973AF7" w:rsidRDefault="007D7828" w:rsidP="007D7828">
      <w:pPr>
        <w:pStyle w:val="Bbodytext"/>
      </w:pPr>
      <w:r w:rsidRPr="00973AF7">
        <w:t>This fee waiver will be automatically applied through the normal licencing process</w:t>
      </w:r>
      <w:r w:rsidR="00473880">
        <w:t xml:space="preserve">.  </w:t>
      </w:r>
    </w:p>
    <w:p w14:paraId="5C381AA1" w14:textId="77777777" w:rsidR="00A40C60" w:rsidRPr="00973AF7" w:rsidRDefault="00A40C60" w:rsidP="00A40C60">
      <w:pPr>
        <w:pStyle w:val="Heading3"/>
        <w:rPr>
          <w:b w:val="0"/>
        </w:rPr>
      </w:pPr>
      <w:r w:rsidRPr="00973AF7">
        <w:t xml:space="preserve">Fixed water and sewerage charges rebate for accommodation providers and community clubs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70B041E1" w14:textId="77777777" w:rsidTr="00C72836">
        <w:tc>
          <w:tcPr>
            <w:tcW w:w="2510" w:type="dxa"/>
            <w:tcBorders>
              <w:bottom w:val="single" w:sz="4" w:space="0" w:color="auto"/>
            </w:tcBorders>
          </w:tcPr>
          <w:p w14:paraId="6F627192" w14:textId="77777777" w:rsidR="00A40C60" w:rsidRPr="00973AF7" w:rsidRDefault="00A40C60" w:rsidP="00C72836">
            <w:pPr>
              <w:pStyle w:val="Initiativefigures"/>
              <w:keepNext/>
              <w:keepLines/>
            </w:pPr>
          </w:p>
        </w:tc>
        <w:tc>
          <w:tcPr>
            <w:tcW w:w="1301" w:type="dxa"/>
            <w:tcBorders>
              <w:bottom w:val="single" w:sz="4" w:space="0" w:color="auto"/>
            </w:tcBorders>
          </w:tcPr>
          <w:p w14:paraId="2EABDB23" w14:textId="77777777" w:rsidR="00A40C60" w:rsidRPr="00973AF7" w:rsidRDefault="00A40C60" w:rsidP="00C72836">
            <w:pPr>
              <w:pStyle w:val="Initiativefigures"/>
            </w:pPr>
            <w:r w:rsidRPr="00973AF7">
              <w:t>2019-20</w:t>
            </w:r>
          </w:p>
          <w:p w14:paraId="1202932D"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07D4E770" w14:textId="77777777" w:rsidR="00A40C60" w:rsidRPr="00973AF7" w:rsidRDefault="00A40C60" w:rsidP="00C72836">
            <w:pPr>
              <w:pStyle w:val="Initiativefigures"/>
            </w:pPr>
            <w:r w:rsidRPr="00973AF7">
              <w:t>2020-21</w:t>
            </w:r>
          </w:p>
          <w:p w14:paraId="0DBF6F1C"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04163A3A" w14:textId="77777777" w:rsidR="00A40C60" w:rsidRPr="00973AF7" w:rsidRDefault="00A40C60" w:rsidP="00C72836">
            <w:pPr>
              <w:pStyle w:val="Initiativefigures"/>
            </w:pPr>
            <w:r w:rsidRPr="00973AF7">
              <w:t>2021-22</w:t>
            </w:r>
          </w:p>
          <w:p w14:paraId="63C46742"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00BA44EB" w14:textId="77777777" w:rsidR="00A40C60" w:rsidRPr="00973AF7" w:rsidRDefault="00A40C60" w:rsidP="00C72836">
            <w:pPr>
              <w:pStyle w:val="Initiativefigures"/>
            </w:pPr>
            <w:r w:rsidRPr="00973AF7">
              <w:t>2022-23</w:t>
            </w:r>
          </w:p>
          <w:p w14:paraId="04F29B1B" w14:textId="77777777" w:rsidR="00A40C60" w:rsidRPr="00973AF7" w:rsidRDefault="00A40C60" w:rsidP="00C72836">
            <w:pPr>
              <w:pStyle w:val="Initiativefigures"/>
              <w:keepNext/>
              <w:keepLines/>
            </w:pPr>
            <w:r w:rsidRPr="00973AF7">
              <w:t>$’000</w:t>
            </w:r>
          </w:p>
        </w:tc>
        <w:tc>
          <w:tcPr>
            <w:tcW w:w="1302" w:type="dxa"/>
            <w:tcBorders>
              <w:bottom w:val="single" w:sz="4" w:space="0" w:color="auto"/>
            </w:tcBorders>
          </w:tcPr>
          <w:p w14:paraId="6A3502F8" w14:textId="77777777" w:rsidR="00A40C60" w:rsidRPr="00973AF7" w:rsidRDefault="00A40C60" w:rsidP="00C72836">
            <w:pPr>
              <w:pStyle w:val="Initiativefigures"/>
              <w:rPr>
                <w:b/>
                <w:bCs/>
              </w:rPr>
            </w:pPr>
            <w:r w:rsidRPr="00973AF7">
              <w:rPr>
                <w:b/>
                <w:bCs/>
              </w:rPr>
              <w:t xml:space="preserve">Total </w:t>
            </w:r>
          </w:p>
          <w:p w14:paraId="0EBFD738" w14:textId="77777777" w:rsidR="00A40C60" w:rsidRPr="00973AF7" w:rsidRDefault="00A40C60" w:rsidP="00C72836">
            <w:pPr>
              <w:pStyle w:val="Initiativefigures"/>
              <w:keepNext/>
              <w:keepLines/>
              <w:rPr>
                <w:b/>
                <w:bCs/>
              </w:rPr>
            </w:pPr>
            <w:r w:rsidRPr="00973AF7">
              <w:rPr>
                <w:b/>
                <w:bCs/>
              </w:rPr>
              <w:t>$’000</w:t>
            </w:r>
          </w:p>
        </w:tc>
      </w:tr>
      <w:tr w:rsidR="00A40C60" w:rsidRPr="00973AF7" w14:paraId="4160CF7D" w14:textId="77777777" w:rsidTr="00C72836">
        <w:tc>
          <w:tcPr>
            <w:tcW w:w="2510" w:type="dxa"/>
            <w:tcBorders>
              <w:bottom w:val="single" w:sz="4" w:space="0" w:color="auto"/>
            </w:tcBorders>
          </w:tcPr>
          <w:p w14:paraId="34DC39F8" w14:textId="77777777" w:rsidR="00A40C60" w:rsidRPr="00973AF7" w:rsidRDefault="00A40C60" w:rsidP="00C72836">
            <w:pPr>
              <w:pStyle w:val="Initiativetext"/>
              <w:keepNext/>
              <w:keepLines/>
            </w:pPr>
            <w:r w:rsidRPr="00973AF7">
              <w:t>Expense</w:t>
            </w:r>
          </w:p>
        </w:tc>
        <w:tc>
          <w:tcPr>
            <w:tcW w:w="1301" w:type="dxa"/>
            <w:tcBorders>
              <w:bottom w:val="single" w:sz="4" w:space="0" w:color="auto"/>
            </w:tcBorders>
          </w:tcPr>
          <w:p w14:paraId="7FA8A1DA" w14:textId="77777777" w:rsidR="00A40C60" w:rsidRPr="00973AF7" w:rsidRDefault="00A40C60" w:rsidP="00C72836">
            <w:pPr>
              <w:pStyle w:val="Initiativefigures"/>
              <w:keepNext/>
              <w:keepLines/>
            </w:pPr>
            <w:r w:rsidRPr="00973AF7">
              <w:t>204</w:t>
            </w:r>
          </w:p>
        </w:tc>
        <w:tc>
          <w:tcPr>
            <w:tcW w:w="1301" w:type="dxa"/>
            <w:tcBorders>
              <w:bottom w:val="single" w:sz="4" w:space="0" w:color="auto"/>
            </w:tcBorders>
          </w:tcPr>
          <w:p w14:paraId="03562255" w14:textId="77777777" w:rsidR="00A40C60" w:rsidRPr="00973AF7" w:rsidRDefault="00A40C60" w:rsidP="00C72836">
            <w:pPr>
              <w:pStyle w:val="Initiativefigures"/>
              <w:keepNext/>
              <w:keepLines/>
            </w:pPr>
            <w:r w:rsidRPr="00973AF7">
              <w:t>2,004</w:t>
            </w:r>
          </w:p>
        </w:tc>
        <w:tc>
          <w:tcPr>
            <w:tcW w:w="1301" w:type="dxa"/>
            <w:tcBorders>
              <w:bottom w:val="single" w:sz="4" w:space="0" w:color="auto"/>
            </w:tcBorders>
          </w:tcPr>
          <w:p w14:paraId="1A6FCD5B" w14:textId="77777777" w:rsidR="00A40C60" w:rsidRPr="00973AF7" w:rsidRDefault="00A40C60" w:rsidP="00C72836">
            <w:pPr>
              <w:pStyle w:val="Initiativefigures"/>
              <w:keepNext/>
              <w:keepLines/>
            </w:pPr>
            <w:r w:rsidRPr="00973AF7">
              <w:t>0</w:t>
            </w:r>
          </w:p>
        </w:tc>
        <w:tc>
          <w:tcPr>
            <w:tcW w:w="1301" w:type="dxa"/>
            <w:tcBorders>
              <w:bottom w:val="single" w:sz="4" w:space="0" w:color="auto"/>
            </w:tcBorders>
          </w:tcPr>
          <w:p w14:paraId="4E25D18F" w14:textId="77777777" w:rsidR="00A40C60" w:rsidRPr="00973AF7" w:rsidRDefault="00A40C60" w:rsidP="00C72836">
            <w:pPr>
              <w:pStyle w:val="Initiativefigures"/>
              <w:keepNext/>
              <w:keepLines/>
            </w:pPr>
            <w:r w:rsidRPr="00973AF7">
              <w:t>0</w:t>
            </w:r>
          </w:p>
        </w:tc>
        <w:tc>
          <w:tcPr>
            <w:tcW w:w="1302" w:type="dxa"/>
            <w:tcBorders>
              <w:bottom w:val="single" w:sz="4" w:space="0" w:color="auto"/>
            </w:tcBorders>
          </w:tcPr>
          <w:p w14:paraId="1BE528F4" w14:textId="77777777" w:rsidR="00A40C60" w:rsidRPr="00973AF7" w:rsidRDefault="00A40C60" w:rsidP="00C72836">
            <w:pPr>
              <w:pStyle w:val="Initiativefigures"/>
              <w:keepNext/>
              <w:keepLines/>
              <w:rPr>
                <w:b/>
                <w:bCs/>
              </w:rPr>
            </w:pPr>
            <w:r w:rsidRPr="00973AF7">
              <w:rPr>
                <w:b/>
                <w:bCs/>
              </w:rPr>
              <w:t>2,208</w:t>
            </w:r>
          </w:p>
        </w:tc>
      </w:tr>
    </w:tbl>
    <w:p w14:paraId="3A04C6C0" w14:textId="7844C597" w:rsidR="00A40C60" w:rsidRPr="00973AF7" w:rsidRDefault="00A40C60" w:rsidP="00A40C60">
      <w:pPr>
        <w:pStyle w:val="Bbodytext"/>
        <w:keepLines/>
        <w:rPr>
          <w:rFonts w:cstheme="minorHAnsi"/>
        </w:rPr>
      </w:pPr>
      <w:r w:rsidRPr="00973AF7">
        <w:rPr>
          <w:bCs/>
        </w:rPr>
        <w:t>The Government will provide a rebate of the fixed water and fixed sewerage charges payable on Icon Water bills for the first 2 quarters of the 2020-21 financial year to eligible accommodation providers including hotels, motels and serviced apartments, and a rebate for the fourth quarter of 2019-20 and first quarter of 2020-21 for community clubs</w:t>
      </w:r>
      <w:r w:rsidR="00473880">
        <w:rPr>
          <w:bCs/>
        </w:rPr>
        <w:t xml:space="preserve">. </w:t>
      </w:r>
      <w:r w:rsidRPr="00973AF7">
        <w:rPr>
          <w:bCs/>
        </w:rPr>
        <w:t>The rebate will help support these businesses during the economic recovery period</w:t>
      </w:r>
      <w:r w:rsidR="00473880">
        <w:rPr>
          <w:bCs/>
        </w:rPr>
        <w:t xml:space="preserve">.  </w:t>
      </w:r>
    </w:p>
    <w:p w14:paraId="1DA84340" w14:textId="6855EE21" w:rsidR="00A40C60" w:rsidRPr="00973AF7" w:rsidRDefault="00A40C60" w:rsidP="00A40C60">
      <w:pPr>
        <w:pStyle w:val="Heading3"/>
      </w:pPr>
      <w:r w:rsidRPr="00973AF7">
        <w:t xml:space="preserve">Payroll tax </w:t>
      </w:r>
      <w:r w:rsidR="00877AFB">
        <w:t>–</w:t>
      </w:r>
      <w:r w:rsidRPr="00973AF7">
        <w:t xml:space="preserve"> interest</w:t>
      </w:r>
      <w:r>
        <w:t>-</w:t>
      </w:r>
      <w:r w:rsidRPr="00973AF7">
        <w:t>free deferral for construction industry</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2AABCCC8" w14:textId="77777777" w:rsidTr="00C72836">
        <w:tc>
          <w:tcPr>
            <w:tcW w:w="2510" w:type="dxa"/>
          </w:tcPr>
          <w:p w14:paraId="5B28B295" w14:textId="77777777" w:rsidR="00A40C60" w:rsidRPr="00973AF7" w:rsidRDefault="00A40C60" w:rsidP="00C72836">
            <w:pPr>
              <w:pStyle w:val="Initiativefigures"/>
            </w:pPr>
          </w:p>
        </w:tc>
        <w:tc>
          <w:tcPr>
            <w:tcW w:w="1301" w:type="dxa"/>
          </w:tcPr>
          <w:p w14:paraId="4357F125" w14:textId="77777777" w:rsidR="00A40C60" w:rsidRPr="00973AF7" w:rsidRDefault="00A40C60" w:rsidP="00C72836">
            <w:pPr>
              <w:pStyle w:val="Initiativefigures"/>
            </w:pPr>
            <w:r w:rsidRPr="00973AF7">
              <w:t>2019-20</w:t>
            </w:r>
          </w:p>
          <w:p w14:paraId="1FCAEB50" w14:textId="77777777" w:rsidR="00A40C60" w:rsidRPr="00973AF7" w:rsidRDefault="00A40C60" w:rsidP="00C72836">
            <w:pPr>
              <w:pStyle w:val="Initiativefigures"/>
            </w:pPr>
            <w:r w:rsidRPr="00973AF7">
              <w:t>$’000</w:t>
            </w:r>
          </w:p>
        </w:tc>
        <w:tc>
          <w:tcPr>
            <w:tcW w:w="1301" w:type="dxa"/>
          </w:tcPr>
          <w:p w14:paraId="46B231DB" w14:textId="77777777" w:rsidR="00A40C60" w:rsidRPr="00973AF7" w:rsidRDefault="00A40C60" w:rsidP="00C72836">
            <w:pPr>
              <w:pStyle w:val="Initiativefigures"/>
            </w:pPr>
            <w:r w:rsidRPr="00973AF7">
              <w:t>2020-21</w:t>
            </w:r>
          </w:p>
          <w:p w14:paraId="3D2F7793" w14:textId="77777777" w:rsidR="00A40C60" w:rsidRPr="00973AF7" w:rsidRDefault="00A40C60" w:rsidP="00C72836">
            <w:pPr>
              <w:pStyle w:val="Initiativefigures"/>
            </w:pPr>
            <w:r w:rsidRPr="00973AF7">
              <w:t>$’000</w:t>
            </w:r>
          </w:p>
        </w:tc>
        <w:tc>
          <w:tcPr>
            <w:tcW w:w="1301" w:type="dxa"/>
          </w:tcPr>
          <w:p w14:paraId="610B1426" w14:textId="77777777" w:rsidR="00A40C60" w:rsidRPr="00973AF7" w:rsidRDefault="00A40C60" w:rsidP="00C72836">
            <w:pPr>
              <w:pStyle w:val="Initiativefigures"/>
            </w:pPr>
            <w:r w:rsidRPr="00973AF7">
              <w:t>2021-22</w:t>
            </w:r>
          </w:p>
          <w:p w14:paraId="0110D62B" w14:textId="77777777" w:rsidR="00A40C60" w:rsidRPr="00973AF7" w:rsidRDefault="00A40C60" w:rsidP="00C72836">
            <w:pPr>
              <w:pStyle w:val="Initiativefigures"/>
            </w:pPr>
            <w:r w:rsidRPr="00973AF7">
              <w:t>$’000</w:t>
            </w:r>
          </w:p>
        </w:tc>
        <w:tc>
          <w:tcPr>
            <w:tcW w:w="1301" w:type="dxa"/>
          </w:tcPr>
          <w:p w14:paraId="7DF4D35C" w14:textId="77777777" w:rsidR="00A40C60" w:rsidRPr="00973AF7" w:rsidRDefault="00A40C60" w:rsidP="00C72836">
            <w:pPr>
              <w:pStyle w:val="Initiativefigures"/>
            </w:pPr>
            <w:r w:rsidRPr="00973AF7">
              <w:t>2022-23</w:t>
            </w:r>
          </w:p>
          <w:p w14:paraId="345D62EA" w14:textId="77777777" w:rsidR="00A40C60" w:rsidRPr="00973AF7" w:rsidRDefault="00A40C60" w:rsidP="00C72836">
            <w:pPr>
              <w:pStyle w:val="Initiativefigures"/>
            </w:pPr>
            <w:r w:rsidRPr="00973AF7">
              <w:t>$’000</w:t>
            </w:r>
          </w:p>
        </w:tc>
        <w:tc>
          <w:tcPr>
            <w:tcW w:w="1302" w:type="dxa"/>
          </w:tcPr>
          <w:p w14:paraId="7DA87F00" w14:textId="77777777" w:rsidR="00A40C60" w:rsidRPr="00973AF7" w:rsidRDefault="00A40C60" w:rsidP="00C72836">
            <w:pPr>
              <w:pStyle w:val="Initiativefigures"/>
              <w:rPr>
                <w:b/>
                <w:bCs/>
              </w:rPr>
            </w:pPr>
            <w:r w:rsidRPr="00973AF7">
              <w:rPr>
                <w:b/>
                <w:bCs/>
              </w:rPr>
              <w:t xml:space="preserve">Total </w:t>
            </w:r>
          </w:p>
          <w:p w14:paraId="441D1497" w14:textId="77777777" w:rsidR="00A40C60" w:rsidRPr="00973AF7" w:rsidRDefault="00A40C60" w:rsidP="00C72836">
            <w:pPr>
              <w:pStyle w:val="Initiativefigures"/>
              <w:rPr>
                <w:b/>
                <w:bCs/>
              </w:rPr>
            </w:pPr>
            <w:r w:rsidRPr="00973AF7">
              <w:rPr>
                <w:b/>
                <w:bCs/>
              </w:rPr>
              <w:t>$’000</w:t>
            </w:r>
          </w:p>
        </w:tc>
      </w:tr>
      <w:tr w:rsidR="00A40C60" w:rsidRPr="00973AF7" w14:paraId="5462BDA0" w14:textId="77777777" w:rsidTr="00C72836">
        <w:tc>
          <w:tcPr>
            <w:tcW w:w="2510" w:type="dxa"/>
          </w:tcPr>
          <w:p w14:paraId="1BDBEC06" w14:textId="77777777" w:rsidR="00A40C60" w:rsidRPr="00973AF7" w:rsidRDefault="00A40C60" w:rsidP="00C72836">
            <w:pPr>
              <w:pStyle w:val="Initiativetext"/>
            </w:pPr>
            <w:r w:rsidRPr="00973AF7">
              <w:t>Cash impact</w:t>
            </w:r>
          </w:p>
        </w:tc>
        <w:tc>
          <w:tcPr>
            <w:tcW w:w="1301" w:type="dxa"/>
          </w:tcPr>
          <w:p w14:paraId="5EFA7413" w14:textId="77777777" w:rsidR="00A40C60" w:rsidRPr="00973AF7" w:rsidRDefault="00A40C60" w:rsidP="00C72836">
            <w:pPr>
              <w:pStyle w:val="Initiativefigures"/>
            </w:pPr>
            <w:r w:rsidRPr="00973AF7">
              <w:t>-9,600</w:t>
            </w:r>
          </w:p>
        </w:tc>
        <w:tc>
          <w:tcPr>
            <w:tcW w:w="1301" w:type="dxa"/>
          </w:tcPr>
          <w:p w14:paraId="4943EB32" w14:textId="77777777" w:rsidR="00A40C60" w:rsidRPr="00973AF7" w:rsidRDefault="00A40C60" w:rsidP="00C72836">
            <w:pPr>
              <w:pStyle w:val="Initiativefigures"/>
            </w:pPr>
            <w:r w:rsidRPr="00973AF7">
              <w:t>-4,800</w:t>
            </w:r>
          </w:p>
        </w:tc>
        <w:tc>
          <w:tcPr>
            <w:tcW w:w="1301" w:type="dxa"/>
          </w:tcPr>
          <w:p w14:paraId="4DA2C564" w14:textId="77777777" w:rsidR="00A40C60" w:rsidRPr="00973AF7" w:rsidRDefault="00A40C60" w:rsidP="00C72836">
            <w:pPr>
              <w:pStyle w:val="Initiativefigures"/>
            </w:pPr>
            <w:r w:rsidRPr="00973AF7">
              <w:t>14,400</w:t>
            </w:r>
          </w:p>
        </w:tc>
        <w:tc>
          <w:tcPr>
            <w:tcW w:w="1301" w:type="dxa"/>
          </w:tcPr>
          <w:p w14:paraId="787B5A34" w14:textId="77777777" w:rsidR="00A40C60" w:rsidRPr="00973AF7" w:rsidRDefault="00A40C60" w:rsidP="00C72836">
            <w:pPr>
              <w:pStyle w:val="Initiativefigures"/>
            </w:pPr>
            <w:r w:rsidRPr="00973AF7">
              <w:t>0</w:t>
            </w:r>
          </w:p>
        </w:tc>
        <w:tc>
          <w:tcPr>
            <w:tcW w:w="1302" w:type="dxa"/>
          </w:tcPr>
          <w:p w14:paraId="2F4064AB" w14:textId="77777777" w:rsidR="00A40C60" w:rsidRPr="00973AF7" w:rsidRDefault="00A40C60" w:rsidP="00C72836">
            <w:pPr>
              <w:pStyle w:val="Initiativefigures"/>
              <w:rPr>
                <w:b/>
                <w:bCs/>
              </w:rPr>
            </w:pPr>
            <w:r w:rsidRPr="00973AF7">
              <w:rPr>
                <w:b/>
                <w:bCs/>
              </w:rPr>
              <w:t>0</w:t>
            </w:r>
          </w:p>
        </w:tc>
      </w:tr>
      <w:tr w:rsidR="00A40C60" w:rsidRPr="00973AF7" w14:paraId="3FE192B8" w14:textId="77777777" w:rsidTr="00C72836">
        <w:tc>
          <w:tcPr>
            <w:tcW w:w="2510" w:type="dxa"/>
          </w:tcPr>
          <w:p w14:paraId="6B11843B" w14:textId="77777777" w:rsidR="00A40C60" w:rsidRPr="00973AF7" w:rsidRDefault="00A40C60" w:rsidP="00C72836">
            <w:pPr>
              <w:pStyle w:val="Initiativetext"/>
            </w:pPr>
            <w:r w:rsidRPr="00973AF7">
              <w:t>Expense</w:t>
            </w:r>
          </w:p>
        </w:tc>
        <w:tc>
          <w:tcPr>
            <w:tcW w:w="1301" w:type="dxa"/>
          </w:tcPr>
          <w:p w14:paraId="1A0AB4DC" w14:textId="77777777" w:rsidR="00A40C60" w:rsidRPr="00973AF7" w:rsidRDefault="00A40C60" w:rsidP="00C72836">
            <w:pPr>
              <w:pStyle w:val="Initiativefigures"/>
            </w:pPr>
            <w:r w:rsidRPr="00973AF7">
              <w:t>27</w:t>
            </w:r>
          </w:p>
        </w:tc>
        <w:tc>
          <w:tcPr>
            <w:tcW w:w="1301" w:type="dxa"/>
          </w:tcPr>
          <w:p w14:paraId="27C92547" w14:textId="77777777" w:rsidR="00A40C60" w:rsidRPr="00973AF7" w:rsidRDefault="00A40C60" w:rsidP="00C72836">
            <w:pPr>
              <w:pStyle w:val="Initiativefigures"/>
            </w:pPr>
            <w:r w:rsidRPr="00973AF7">
              <w:t>30</w:t>
            </w:r>
          </w:p>
        </w:tc>
        <w:tc>
          <w:tcPr>
            <w:tcW w:w="1301" w:type="dxa"/>
          </w:tcPr>
          <w:p w14:paraId="6AA7E7F6" w14:textId="77777777" w:rsidR="00A40C60" w:rsidRPr="00973AF7" w:rsidRDefault="00A40C60" w:rsidP="00C72836">
            <w:pPr>
              <w:pStyle w:val="Initiativefigures"/>
            </w:pPr>
            <w:r w:rsidRPr="00973AF7">
              <w:t>0</w:t>
            </w:r>
          </w:p>
        </w:tc>
        <w:tc>
          <w:tcPr>
            <w:tcW w:w="1301" w:type="dxa"/>
          </w:tcPr>
          <w:p w14:paraId="467ABA09" w14:textId="77777777" w:rsidR="00A40C60" w:rsidRPr="00973AF7" w:rsidRDefault="00A40C60" w:rsidP="00C72836">
            <w:pPr>
              <w:pStyle w:val="Initiativefigures"/>
            </w:pPr>
            <w:r w:rsidRPr="00973AF7">
              <w:t>0</w:t>
            </w:r>
          </w:p>
        </w:tc>
        <w:tc>
          <w:tcPr>
            <w:tcW w:w="1302" w:type="dxa"/>
          </w:tcPr>
          <w:p w14:paraId="6D3FB3CC" w14:textId="77777777" w:rsidR="00A40C60" w:rsidRPr="00973AF7" w:rsidRDefault="00A40C60" w:rsidP="00C72836">
            <w:pPr>
              <w:pStyle w:val="Initiativefigures"/>
              <w:rPr>
                <w:b/>
                <w:bCs/>
              </w:rPr>
            </w:pPr>
            <w:r w:rsidRPr="00973AF7">
              <w:rPr>
                <w:b/>
                <w:bCs/>
              </w:rPr>
              <w:t>57</w:t>
            </w:r>
          </w:p>
        </w:tc>
      </w:tr>
    </w:tbl>
    <w:p w14:paraId="4BC66F31" w14:textId="11DA4F91" w:rsidR="00A40C60" w:rsidRPr="00973AF7" w:rsidRDefault="00A40C60" w:rsidP="00A40C60">
      <w:pPr>
        <w:pStyle w:val="Bbodytext"/>
      </w:pPr>
      <w:r w:rsidRPr="00973AF7">
        <w:t xml:space="preserve">The Government </w:t>
      </w:r>
      <w:r w:rsidR="002B05D0">
        <w:t>is supporting</w:t>
      </w:r>
      <w:r w:rsidR="002B05D0" w:rsidRPr="00973AF7">
        <w:t xml:space="preserve"> </w:t>
      </w:r>
      <w:r w:rsidRPr="00973AF7">
        <w:t xml:space="preserve">businesses in the construction industry </w:t>
      </w:r>
      <w:r w:rsidR="002B05D0">
        <w:t xml:space="preserve">by allowing them </w:t>
      </w:r>
      <w:r w:rsidRPr="00973AF7">
        <w:t>to defer their payroll tax liability for the six months from April to September 2020 to provide cashflow assistance to help them retain workers</w:t>
      </w:r>
      <w:r w:rsidR="00473880">
        <w:t xml:space="preserve">. </w:t>
      </w:r>
      <w:r w:rsidRPr="00973AF7">
        <w:t>No interest will be charged on deferred amounts until 1 October 2020</w:t>
      </w:r>
      <w:r w:rsidR="00473880">
        <w:t xml:space="preserve">. </w:t>
      </w:r>
    </w:p>
    <w:p w14:paraId="16A4762E" w14:textId="300BB216" w:rsidR="00A40C60" w:rsidRPr="00973AF7" w:rsidRDefault="00A40C60" w:rsidP="00A40C60">
      <w:pPr>
        <w:pStyle w:val="Bbodytext"/>
      </w:pPr>
      <w:r w:rsidRPr="00973AF7">
        <w:t>The expense component of this item relates to financing costs</w:t>
      </w:r>
      <w:r w:rsidR="00473880">
        <w:t xml:space="preserve">.  </w:t>
      </w:r>
    </w:p>
    <w:p w14:paraId="78A44B13" w14:textId="05549846" w:rsidR="00A40C60" w:rsidRPr="00973AF7" w:rsidRDefault="00A40C60" w:rsidP="00A40C60">
      <w:pPr>
        <w:pStyle w:val="Heading3"/>
      </w:pPr>
      <w:r w:rsidRPr="00973AF7">
        <w:lastRenderedPageBreak/>
        <w:t xml:space="preserve">Payroll tax </w:t>
      </w:r>
      <w:r w:rsidR="00877AFB">
        <w:t>–</w:t>
      </w:r>
      <w:r w:rsidRPr="00973AF7">
        <w:t xml:space="preserve"> interest-free deferral for businesses with payroll under $10 million</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2A1CE531" w14:textId="77777777" w:rsidTr="00C72836">
        <w:tc>
          <w:tcPr>
            <w:tcW w:w="2510" w:type="dxa"/>
            <w:tcBorders>
              <w:bottom w:val="single" w:sz="4" w:space="0" w:color="auto"/>
            </w:tcBorders>
          </w:tcPr>
          <w:p w14:paraId="51E1043F" w14:textId="77777777" w:rsidR="00A40C60" w:rsidRPr="00973AF7" w:rsidRDefault="00A40C60" w:rsidP="00C72836">
            <w:pPr>
              <w:pStyle w:val="Initiativefigures"/>
            </w:pPr>
          </w:p>
        </w:tc>
        <w:tc>
          <w:tcPr>
            <w:tcW w:w="1301" w:type="dxa"/>
            <w:tcBorders>
              <w:bottom w:val="single" w:sz="4" w:space="0" w:color="auto"/>
            </w:tcBorders>
          </w:tcPr>
          <w:p w14:paraId="406CD7E7" w14:textId="77777777" w:rsidR="00A40C60" w:rsidRPr="00973AF7" w:rsidRDefault="00A40C60" w:rsidP="00C72836">
            <w:pPr>
              <w:pStyle w:val="Initiativefigures"/>
            </w:pPr>
            <w:r w:rsidRPr="00973AF7">
              <w:t>2019-20</w:t>
            </w:r>
          </w:p>
          <w:p w14:paraId="2AA38BCA" w14:textId="77777777" w:rsidR="00A40C60" w:rsidRPr="00973AF7" w:rsidRDefault="00A40C60" w:rsidP="00C72836">
            <w:pPr>
              <w:pStyle w:val="Initiativefigures"/>
            </w:pPr>
            <w:r w:rsidRPr="00973AF7">
              <w:t>$’000</w:t>
            </w:r>
          </w:p>
        </w:tc>
        <w:tc>
          <w:tcPr>
            <w:tcW w:w="1301" w:type="dxa"/>
            <w:tcBorders>
              <w:bottom w:val="single" w:sz="4" w:space="0" w:color="auto"/>
            </w:tcBorders>
          </w:tcPr>
          <w:p w14:paraId="5F369A2D" w14:textId="77777777" w:rsidR="00A40C60" w:rsidRPr="00973AF7" w:rsidRDefault="00A40C60" w:rsidP="00C72836">
            <w:pPr>
              <w:pStyle w:val="Initiativefigures"/>
            </w:pPr>
            <w:r w:rsidRPr="00973AF7">
              <w:t>2020-21</w:t>
            </w:r>
          </w:p>
          <w:p w14:paraId="4CC5895D" w14:textId="77777777" w:rsidR="00A40C60" w:rsidRPr="00973AF7" w:rsidRDefault="00A40C60" w:rsidP="00C72836">
            <w:pPr>
              <w:pStyle w:val="Initiativefigures"/>
            </w:pPr>
            <w:r w:rsidRPr="00973AF7">
              <w:t>$’000</w:t>
            </w:r>
          </w:p>
        </w:tc>
        <w:tc>
          <w:tcPr>
            <w:tcW w:w="1301" w:type="dxa"/>
            <w:tcBorders>
              <w:bottom w:val="single" w:sz="4" w:space="0" w:color="auto"/>
            </w:tcBorders>
          </w:tcPr>
          <w:p w14:paraId="51338688" w14:textId="77777777" w:rsidR="00A40C60" w:rsidRPr="00973AF7" w:rsidRDefault="00A40C60" w:rsidP="00C72836">
            <w:pPr>
              <w:pStyle w:val="Initiativefigures"/>
            </w:pPr>
            <w:r w:rsidRPr="00973AF7">
              <w:t>2021-22</w:t>
            </w:r>
          </w:p>
          <w:p w14:paraId="40BCEFC4" w14:textId="77777777" w:rsidR="00A40C60" w:rsidRPr="00973AF7" w:rsidRDefault="00A40C60" w:rsidP="00C72836">
            <w:pPr>
              <w:pStyle w:val="Initiativefigures"/>
            </w:pPr>
            <w:r w:rsidRPr="00973AF7">
              <w:t>$’000</w:t>
            </w:r>
          </w:p>
        </w:tc>
        <w:tc>
          <w:tcPr>
            <w:tcW w:w="1301" w:type="dxa"/>
            <w:tcBorders>
              <w:bottom w:val="single" w:sz="4" w:space="0" w:color="auto"/>
            </w:tcBorders>
          </w:tcPr>
          <w:p w14:paraId="2B46FC4F" w14:textId="77777777" w:rsidR="00A40C60" w:rsidRPr="00973AF7" w:rsidRDefault="00A40C60" w:rsidP="00C72836">
            <w:pPr>
              <w:pStyle w:val="Initiativefigures"/>
            </w:pPr>
            <w:r w:rsidRPr="00973AF7">
              <w:t>2022-23</w:t>
            </w:r>
          </w:p>
          <w:p w14:paraId="5D4A2ED3" w14:textId="77777777" w:rsidR="00A40C60" w:rsidRPr="00973AF7" w:rsidRDefault="00A40C60" w:rsidP="00C72836">
            <w:pPr>
              <w:pStyle w:val="Initiativefigures"/>
            </w:pPr>
            <w:r w:rsidRPr="00973AF7">
              <w:t>$’000</w:t>
            </w:r>
          </w:p>
        </w:tc>
        <w:tc>
          <w:tcPr>
            <w:tcW w:w="1302" w:type="dxa"/>
            <w:tcBorders>
              <w:bottom w:val="single" w:sz="4" w:space="0" w:color="auto"/>
            </w:tcBorders>
          </w:tcPr>
          <w:p w14:paraId="01F3437A" w14:textId="77777777" w:rsidR="00A40C60" w:rsidRPr="00973AF7" w:rsidRDefault="00A40C60" w:rsidP="00C72836">
            <w:pPr>
              <w:pStyle w:val="Initiativefigures"/>
              <w:rPr>
                <w:b/>
                <w:bCs/>
              </w:rPr>
            </w:pPr>
            <w:r w:rsidRPr="00973AF7">
              <w:rPr>
                <w:b/>
                <w:bCs/>
              </w:rPr>
              <w:t xml:space="preserve">Total </w:t>
            </w:r>
          </w:p>
          <w:p w14:paraId="6C70453B" w14:textId="77777777" w:rsidR="00A40C60" w:rsidRPr="00973AF7" w:rsidRDefault="00A40C60" w:rsidP="00C72836">
            <w:pPr>
              <w:pStyle w:val="Initiativefigures"/>
              <w:rPr>
                <w:b/>
                <w:bCs/>
              </w:rPr>
            </w:pPr>
            <w:r w:rsidRPr="00973AF7">
              <w:rPr>
                <w:b/>
                <w:bCs/>
              </w:rPr>
              <w:t>$’000</w:t>
            </w:r>
          </w:p>
        </w:tc>
      </w:tr>
      <w:tr w:rsidR="00A40C60" w:rsidRPr="00973AF7" w14:paraId="43AAECBC" w14:textId="77777777" w:rsidTr="00C72836">
        <w:tc>
          <w:tcPr>
            <w:tcW w:w="2510" w:type="dxa"/>
          </w:tcPr>
          <w:p w14:paraId="319163D7" w14:textId="77777777" w:rsidR="00A40C60" w:rsidRPr="00973AF7" w:rsidRDefault="00A40C60" w:rsidP="00C72836">
            <w:pPr>
              <w:pStyle w:val="Initiativetext"/>
            </w:pPr>
            <w:r w:rsidRPr="00973AF7">
              <w:t>Cash impact</w:t>
            </w:r>
          </w:p>
        </w:tc>
        <w:tc>
          <w:tcPr>
            <w:tcW w:w="1301" w:type="dxa"/>
          </w:tcPr>
          <w:p w14:paraId="31AFFD2F" w14:textId="77777777" w:rsidR="00A40C60" w:rsidRPr="00973AF7" w:rsidRDefault="00A40C60" w:rsidP="00C72836">
            <w:pPr>
              <w:pStyle w:val="Initiativefigures"/>
            </w:pPr>
            <w:r w:rsidRPr="00973AF7">
              <w:t>0</w:t>
            </w:r>
          </w:p>
        </w:tc>
        <w:tc>
          <w:tcPr>
            <w:tcW w:w="1301" w:type="dxa"/>
          </w:tcPr>
          <w:p w14:paraId="4790B1E4" w14:textId="77777777" w:rsidR="00A40C60" w:rsidRPr="00973AF7" w:rsidRDefault="00A40C60" w:rsidP="00C72836">
            <w:pPr>
              <w:pStyle w:val="Initiativefigures"/>
            </w:pPr>
            <w:r w:rsidRPr="00973AF7">
              <w:t>-100,000</w:t>
            </w:r>
          </w:p>
        </w:tc>
        <w:tc>
          <w:tcPr>
            <w:tcW w:w="1301" w:type="dxa"/>
          </w:tcPr>
          <w:p w14:paraId="15054C0D" w14:textId="77777777" w:rsidR="00A40C60" w:rsidRPr="00973AF7" w:rsidRDefault="00A40C60" w:rsidP="00C72836">
            <w:pPr>
              <w:pStyle w:val="Initiativefigures"/>
            </w:pPr>
            <w:r w:rsidRPr="00973AF7">
              <w:t>100,000</w:t>
            </w:r>
          </w:p>
        </w:tc>
        <w:tc>
          <w:tcPr>
            <w:tcW w:w="1301" w:type="dxa"/>
          </w:tcPr>
          <w:p w14:paraId="0743487F" w14:textId="77777777" w:rsidR="00A40C60" w:rsidRPr="00973AF7" w:rsidRDefault="00A40C60" w:rsidP="00C72836">
            <w:pPr>
              <w:pStyle w:val="Initiativefigures"/>
            </w:pPr>
            <w:r w:rsidRPr="00973AF7">
              <w:t>0</w:t>
            </w:r>
          </w:p>
        </w:tc>
        <w:tc>
          <w:tcPr>
            <w:tcW w:w="1302" w:type="dxa"/>
          </w:tcPr>
          <w:p w14:paraId="3B40E556" w14:textId="77777777" w:rsidR="00A40C60" w:rsidRPr="00973AF7" w:rsidRDefault="00A40C60" w:rsidP="00C72836">
            <w:pPr>
              <w:pStyle w:val="Initiativefigures"/>
              <w:rPr>
                <w:b/>
                <w:bCs/>
              </w:rPr>
            </w:pPr>
            <w:r w:rsidRPr="00973AF7">
              <w:rPr>
                <w:b/>
                <w:bCs/>
              </w:rPr>
              <w:t>0</w:t>
            </w:r>
          </w:p>
        </w:tc>
      </w:tr>
      <w:tr w:rsidR="00A40C60" w:rsidRPr="00973AF7" w14:paraId="4D7267A9" w14:textId="77777777" w:rsidTr="00C72836">
        <w:tc>
          <w:tcPr>
            <w:tcW w:w="2510" w:type="dxa"/>
            <w:tcBorders>
              <w:bottom w:val="single" w:sz="4" w:space="0" w:color="auto"/>
            </w:tcBorders>
          </w:tcPr>
          <w:p w14:paraId="0F48AFA2" w14:textId="77777777" w:rsidR="00A40C60" w:rsidRPr="00973AF7" w:rsidRDefault="00A40C60" w:rsidP="00C72836">
            <w:pPr>
              <w:pStyle w:val="Initiativetext"/>
            </w:pPr>
            <w:r w:rsidRPr="00973AF7">
              <w:t>Expense</w:t>
            </w:r>
          </w:p>
        </w:tc>
        <w:tc>
          <w:tcPr>
            <w:tcW w:w="1301" w:type="dxa"/>
            <w:tcBorders>
              <w:bottom w:val="single" w:sz="4" w:space="0" w:color="auto"/>
            </w:tcBorders>
          </w:tcPr>
          <w:p w14:paraId="72868A54" w14:textId="77777777" w:rsidR="00A40C60" w:rsidRPr="00973AF7" w:rsidRDefault="00A40C60" w:rsidP="00C72836">
            <w:pPr>
              <w:pStyle w:val="Initiativefigures"/>
            </w:pPr>
            <w:r w:rsidRPr="00973AF7">
              <w:t>0</w:t>
            </w:r>
          </w:p>
        </w:tc>
        <w:tc>
          <w:tcPr>
            <w:tcW w:w="1301" w:type="dxa"/>
            <w:tcBorders>
              <w:bottom w:val="single" w:sz="4" w:space="0" w:color="auto"/>
            </w:tcBorders>
          </w:tcPr>
          <w:p w14:paraId="2E75A65D" w14:textId="77777777" w:rsidR="00A40C60" w:rsidRPr="00973AF7" w:rsidRDefault="00A40C60" w:rsidP="00C72836">
            <w:pPr>
              <w:pStyle w:val="Initiativefigures"/>
            </w:pPr>
            <w:r w:rsidRPr="00973AF7">
              <w:t>900</w:t>
            </w:r>
          </w:p>
        </w:tc>
        <w:tc>
          <w:tcPr>
            <w:tcW w:w="1301" w:type="dxa"/>
            <w:tcBorders>
              <w:bottom w:val="single" w:sz="4" w:space="0" w:color="auto"/>
            </w:tcBorders>
          </w:tcPr>
          <w:p w14:paraId="727BFC59" w14:textId="77777777" w:rsidR="00A40C60" w:rsidRPr="00973AF7" w:rsidRDefault="00A40C60" w:rsidP="00C72836">
            <w:pPr>
              <w:pStyle w:val="Initiativefigures"/>
            </w:pPr>
            <w:r w:rsidRPr="00973AF7">
              <w:t>1,900</w:t>
            </w:r>
          </w:p>
        </w:tc>
        <w:tc>
          <w:tcPr>
            <w:tcW w:w="1301" w:type="dxa"/>
            <w:tcBorders>
              <w:bottom w:val="single" w:sz="4" w:space="0" w:color="auto"/>
            </w:tcBorders>
          </w:tcPr>
          <w:p w14:paraId="198CD5E0" w14:textId="77777777" w:rsidR="00A40C60" w:rsidRPr="00973AF7" w:rsidRDefault="00A40C60" w:rsidP="00C72836">
            <w:pPr>
              <w:pStyle w:val="Initiativefigures"/>
            </w:pPr>
            <w:r w:rsidRPr="00973AF7">
              <w:t>0</w:t>
            </w:r>
          </w:p>
        </w:tc>
        <w:tc>
          <w:tcPr>
            <w:tcW w:w="1302" w:type="dxa"/>
            <w:tcBorders>
              <w:bottom w:val="single" w:sz="4" w:space="0" w:color="auto"/>
            </w:tcBorders>
          </w:tcPr>
          <w:p w14:paraId="4AF5A972" w14:textId="77777777" w:rsidR="00A40C60" w:rsidRPr="00973AF7" w:rsidRDefault="00A40C60" w:rsidP="00C72836">
            <w:pPr>
              <w:pStyle w:val="Initiativefigures"/>
              <w:rPr>
                <w:b/>
                <w:bCs/>
              </w:rPr>
            </w:pPr>
            <w:r w:rsidRPr="00973AF7">
              <w:rPr>
                <w:b/>
                <w:bCs/>
              </w:rPr>
              <w:t>2,800</w:t>
            </w:r>
          </w:p>
        </w:tc>
      </w:tr>
    </w:tbl>
    <w:p w14:paraId="38FF91CA" w14:textId="5689EF89" w:rsidR="00A40C60" w:rsidRPr="00973AF7" w:rsidRDefault="00A40C60" w:rsidP="00A40C60">
      <w:pPr>
        <w:pStyle w:val="Bbodytext"/>
      </w:pPr>
      <w:r w:rsidRPr="00973AF7">
        <w:t>The Government will provide all ACT businesses with group Australia-wide wages of up to $10 million the option to defer their 2020-21 payroll tax, interest free until 1 July 2022</w:t>
      </w:r>
      <w:r w:rsidR="00473880">
        <w:t xml:space="preserve">. </w:t>
      </w:r>
      <w:r w:rsidRPr="00973AF7">
        <w:t>Businesses need to complete a simple online application form to confirm their eligibility</w:t>
      </w:r>
      <w:r w:rsidR="00473880">
        <w:t xml:space="preserve">.  </w:t>
      </w:r>
    </w:p>
    <w:p w14:paraId="3F88D297" w14:textId="68FA393F" w:rsidR="00A40C60" w:rsidRPr="00973AF7" w:rsidRDefault="00A40C60" w:rsidP="00A40C60">
      <w:pPr>
        <w:pStyle w:val="Bbodytext"/>
      </w:pPr>
      <w:r w:rsidRPr="00973AF7">
        <w:t>The expense component of this item relates to financing costs</w:t>
      </w:r>
      <w:r w:rsidR="00473880">
        <w:t xml:space="preserve">.  </w:t>
      </w:r>
    </w:p>
    <w:p w14:paraId="7F03CD62" w14:textId="037875B3" w:rsidR="00A40C60" w:rsidRPr="00973AF7" w:rsidRDefault="00A40C60" w:rsidP="00A40C60">
      <w:pPr>
        <w:pStyle w:val="Bbodytext"/>
        <w:rPr>
          <w:szCs w:val="24"/>
        </w:rPr>
      </w:pPr>
      <w:r w:rsidRPr="00973AF7">
        <w:rPr>
          <w:szCs w:val="24"/>
        </w:rPr>
        <w:t xml:space="preserve">Eligible businesses can apply via the </w:t>
      </w:r>
      <w:hyperlink r:id="rId17" w:history="1">
        <w:r w:rsidRPr="00973AF7">
          <w:rPr>
            <w:rStyle w:val="Hyperlink"/>
            <w:rFonts w:cstheme="minorHAnsi"/>
            <w:szCs w:val="24"/>
          </w:rPr>
          <w:t>ACT Revenue Office website</w:t>
        </w:r>
      </w:hyperlink>
      <w:r w:rsidR="00473880">
        <w:rPr>
          <w:rStyle w:val="Hyperlink"/>
          <w:rFonts w:cstheme="minorHAnsi"/>
          <w:szCs w:val="24"/>
        </w:rPr>
        <w:t xml:space="preserve">. </w:t>
      </w:r>
      <w:r w:rsidRPr="00973AF7">
        <w:rPr>
          <w:szCs w:val="24"/>
        </w:rPr>
        <w:t xml:space="preserve">   </w:t>
      </w:r>
    </w:p>
    <w:p w14:paraId="50C559B4" w14:textId="709B8FB9" w:rsidR="00551562" w:rsidRPr="00973AF7" w:rsidRDefault="00551562" w:rsidP="00551562">
      <w:pPr>
        <w:pStyle w:val="Heading3"/>
      </w:pPr>
      <w:r w:rsidRPr="00973AF7">
        <w:t xml:space="preserve">Payroll tax </w:t>
      </w:r>
      <w:r w:rsidR="00877AFB">
        <w:t>–</w:t>
      </w:r>
      <w:r w:rsidRPr="00973AF7">
        <w:t xml:space="preserve"> six-month waiver of payroll tax for </w:t>
      </w:r>
      <w:r w:rsidR="00520484" w:rsidRPr="00973AF7">
        <w:t xml:space="preserve">business operations directly impacted by the </w:t>
      </w:r>
      <w:r w:rsidR="008B1A67" w:rsidRPr="00973AF7">
        <w:t xml:space="preserve">national </w:t>
      </w:r>
      <w:r w:rsidR="00520484" w:rsidRPr="00973AF7">
        <w:t xml:space="preserve">‘prohibited activities and venues’ list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551562" w:rsidRPr="00973AF7" w14:paraId="528E2E5B" w14:textId="77777777" w:rsidTr="00551562">
        <w:tc>
          <w:tcPr>
            <w:tcW w:w="2510" w:type="dxa"/>
            <w:tcBorders>
              <w:bottom w:val="single" w:sz="4" w:space="0" w:color="auto"/>
            </w:tcBorders>
          </w:tcPr>
          <w:p w14:paraId="3E0F2BAE" w14:textId="77777777" w:rsidR="00551562" w:rsidRPr="00973AF7" w:rsidRDefault="00551562" w:rsidP="00551562">
            <w:pPr>
              <w:pStyle w:val="Initiativefigures"/>
            </w:pPr>
          </w:p>
        </w:tc>
        <w:tc>
          <w:tcPr>
            <w:tcW w:w="1301" w:type="dxa"/>
            <w:tcBorders>
              <w:bottom w:val="single" w:sz="4" w:space="0" w:color="auto"/>
            </w:tcBorders>
          </w:tcPr>
          <w:p w14:paraId="670B8228" w14:textId="77777777" w:rsidR="00551562" w:rsidRPr="00973AF7" w:rsidRDefault="00551562" w:rsidP="00551562">
            <w:pPr>
              <w:pStyle w:val="Initiativefigures"/>
            </w:pPr>
            <w:r w:rsidRPr="00973AF7">
              <w:t>2019-20</w:t>
            </w:r>
          </w:p>
          <w:p w14:paraId="3F8D3177" w14:textId="77777777" w:rsidR="00551562" w:rsidRPr="00973AF7" w:rsidRDefault="00551562" w:rsidP="00551562">
            <w:pPr>
              <w:pStyle w:val="Initiativefigures"/>
            </w:pPr>
            <w:r w:rsidRPr="00973AF7">
              <w:t>$’000</w:t>
            </w:r>
          </w:p>
        </w:tc>
        <w:tc>
          <w:tcPr>
            <w:tcW w:w="1301" w:type="dxa"/>
            <w:tcBorders>
              <w:bottom w:val="single" w:sz="4" w:space="0" w:color="auto"/>
            </w:tcBorders>
          </w:tcPr>
          <w:p w14:paraId="26AF8284" w14:textId="77777777" w:rsidR="00551562" w:rsidRPr="00973AF7" w:rsidRDefault="00551562" w:rsidP="00551562">
            <w:pPr>
              <w:pStyle w:val="Initiativefigures"/>
            </w:pPr>
            <w:r w:rsidRPr="00973AF7">
              <w:t>2020-21</w:t>
            </w:r>
          </w:p>
          <w:p w14:paraId="362EC517" w14:textId="77777777" w:rsidR="00551562" w:rsidRPr="00973AF7" w:rsidRDefault="00551562" w:rsidP="00551562">
            <w:pPr>
              <w:pStyle w:val="Initiativefigures"/>
            </w:pPr>
            <w:r w:rsidRPr="00973AF7">
              <w:t>$’000</w:t>
            </w:r>
          </w:p>
        </w:tc>
        <w:tc>
          <w:tcPr>
            <w:tcW w:w="1301" w:type="dxa"/>
            <w:tcBorders>
              <w:bottom w:val="single" w:sz="4" w:space="0" w:color="auto"/>
            </w:tcBorders>
          </w:tcPr>
          <w:p w14:paraId="3B4BD39B" w14:textId="77777777" w:rsidR="00551562" w:rsidRPr="00973AF7" w:rsidRDefault="00551562" w:rsidP="00551562">
            <w:pPr>
              <w:pStyle w:val="Initiativefigures"/>
            </w:pPr>
            <w:r w:rsidRPr="00973AF7">
              <w:t>2021-22</w:t>
            </w:r>
          </w:p>
          <w:p w14:paraId="6701A963" w14:textId="77777777" w:rsidR="00551562" w:rsidRPr="00973AF7" w:rsidRDefault="00551562" w:rsidP="00551562">
            <w:pPr>
              <w:pStyle w:val="Initiativefigures"/>
            </w:pPr>
            <w:r w:rsidRPr="00973AF7">
              <w:t>$’000</w:t>
            </w:r>
          </w:p>
        </w:tc>
        <w:tc>
          <w:tcPr>
            <w:tcW w:w="1301" w:type="dxa"/>
            <w:tcBorders>
              <w:bottom w:val="single" w:sz="4" w:space="0" w:color="auto"/>
            </w:tcBorders>
          </w:tcPr>
          <w:p w14:paraId="45CC3120" w14:textId="77777777" w:rsidR="00551562" w:rsidRPr="00973AF7" w:rsidRDefault="00551562" w:rsidP="00551562">
            <w:pPr>
              <w:pStyle w:val="Initiativefigures"/>
            </w:pPr>
            <w:r w:rsidRPr="00973AF7">
              <w:t>2022-23</w:t>
            </w:r>
          </w:p>
          <w:p w14:paraId="4585839F" w14:textId="77777777" w:rsidR="00551562" w:rsidRPr="00973AF7" w:rsidRDefault="00551562" w:rsidP="00551562">
            <w:pPr>
              <w:pStyle w:val="Initiativefigures"/>
            </w:pPr>
            <w:r w:rsidRPr="00973AF7">
              <w:t>$’000</w:t>
            </w:r>
          </w:p>
        </w:tc>
        <w:tc>
          <w:tcPr>
            <w:tcW w:w="1302" w:type="dxa"/>
            <w:tcBorders>
              <w:bottom w:val="single" w:sz="4" w:space="0" w:color="auto"/>
            </w:tcBorders>
          </w:tcPr>
          <w:p w14:paraId="2E17534A" w14:textId="77777777" w:rsidR="00551562" w:rsidRPr="00973AF7" w:rsidRDefault="00551562" w:rsidP="00551562">
            <w:pPr>
              <w:pStyle w:val="Initiativefigures"/>
              <w:rPr>
                <w:b/>
                <w:bCs/>
              </w:rPr>
            </w:pPr>
            <w:r w:rsidRPr="00973AF7">
              <w:rPr>
                <w:b/>
                <w:bCs/>
              </w:rPr>
              <w:t xml:space="preserve">Total </w:t>
            </w:r>
          </w:p>
          <w:p w14:paraId="4FE30045" w14:textId="77777777" w:rsidR="00551562" w:rsidRPr="00973AF7" w:rsidRDefault="00551562" w:rsidP="00551562">
            <w:pPr>
              <w:pStyle w:val="Initiativefigures"/>
              <w:rPr>
                <w:b/>
                <w:bCs/>
              </w:rPr>
            </w:pPr>
            <w:r w:rsidRPr="00973AF7">
              <w:rPr>
                <w:b/>
                <w:bCs/>
              </w:rPr>
              <w:t>$’000</w:t>
            </w:r>
          </w:p>
        </w:tc>
      </w:tr>
      <w:tr w:rsidR="00551562" w:rsidRPr="00973AF7" w14:paraId="0CB21A54" w14:textId="77777777" w:rsidTr="00551562">
        <w:tc>
          <w:tcPr>
            <w:tcW w:w="2510" w:type="dxa"/>
            <w:tcBorders>
              <w:bottom w:val="single" w:sz="4" w:space="0" w:color="auto"/>
            </w:tcBorders>
          </w:tcPr>
          <w:p w14:paraId="33954A5A" w14:textId="77777777" w:rsidR="00551562" w:rsidRPr="00973AF7" w:rsidRDefault="00551562" w:rsidP="00551562">
            <w:pPr>
              <w:pStyle w:val="Initiativetext"/>
            </w:pPr>
            <w:r w:rsidRPr="00973AF7">
              <w:t>Revenue forgone</w:t>
            </w:r>
          </w:p>
        </w:tc>
        <w:tc>
          <w:tcPr>
            <w:tcW w:w="1301" w:type="dxa"/>
            <w:tcBorders>
              <w:bottom w:val="single" w:sz="4" w:space="0" w:color="auto"/>
            </w:tcBorders>
          </w:tcPr>
          <w:p w14:paraId="01522AC0" w14:textId="5D147707" w:rsidR="00551562" w:rsidRPr="00973AF7" w:rsidRDefault="00551562" w:rsidP="00551562">
            <w:pPr>
              <w:pStyle w:val="Initiativefigures"/>
            </w:pPr>
            <w:r w:rsidRPr="00973AF7">
              <w:t>4,200</w:t>
            </w:r>
          </w:p>
        </w:tc>
        <w:tc>
          <w:tcPr>
            <w:tcW w:w="1301" w:type="dxa"/>
            <w:tcBorders>
              <w:bottom w:val="single" w:sz="4" w:space="0" w:color="auto"/>
            </w:tcBorders>
          </w:tcPr>
          <w:p w14:paraId="483EC93D" w14:textId="75273E74" w:rsidR="00551562" w:rsidRPr="00973AF7" w:rsidRDefault="00551562" w:rsidP="00551562">
            <w:pPr>
              <w:pStyle w:val="Initiativefigures"/>
            </w:pPr>
            <w:r w:rsidRPr="00973AF7">
              <w:t>3,500</w:t>
            </w:r>
          </w:p>
        </w:tc>
        <w:tc>
          <w:tcPr>
            <w:tcW w:w="1301" w:type="dxa"/>
            <w:tcBorders>
              <w:bottom w:val="single" w:sz="4" w:space="0" w:color="auto"/>
            </w:tcBorders>
          </w:tcPr>
          <w:p w14:paraId="2BBAF990" w14:textId="77777777" w:rsidR="00551562" w:rsidRPr="00973AF7" w:rsidRDefault="00551562" w:rsidP="00551562">
            <w:pPr>
              <w:pStyle w:val="Initiativefigures"/>
            </w:pPr>
            <w:r w:rsidRPr="00973AF7">
              <w:t>0</w:t>
            </w:r>
          </w:p>
        </w:tc>
        <w:tc>
          <w:tcPr>
            <w:tcW w:w="1301" w:type="dxa"/>
            <w:tcBorders>
              <w:bottom w:val="single" w:sz="4" w:space="0" w:color="auto"/>
            </w:tcBorders>
          </w:tcPr>
          <w:p w14:paraId="3F04C46E" w14:textId="77777777" w:rsidR="00551562" w:rsidRPr="00973AF7" w:rsidRDefault="00551562" w:rsidP="00551562">
            <w:pPr>
              <w:pStyle w:val="Initiativefigures"/>
            </w:pPr>
            <w:r w:rsidRPr="00973AF7">
              <w:t>0</w:t>
            </w:r>
          </w:p>
        </w:tc>
        <w:tc>
          <w:tcPr>
            <w:tcW w:w="1302" w:type="dxa"/>
            <w:tcBorders>
              <w:bottom w:val="single" w:sz="4" w:space="0" w:color="auto"/>
            </w:tcBorders>
          </w:tcPr>
          <w:p w14:paraId="34F095DD" w14:textId="7D93CC17" w:rsidR="00551562" w:rsidRPr="00973AF7" w:rsidRDefault="00551562" w:rsidP="00551562">
            <w:pPr>
              <w:pStyle w:val="Initiativefigures"/>
              <w:rPr>
                <w:b/>
                <w:bCs/>
              </w:rPr>
            </w:pPr>
            <w:r w:rsidRPr="00973AF7">
              <w:rPr>
                <w:b/>
                <w:bCs/>
              </w:rPr>
              <w:t>7,700</w:t>
            </w:r>
          </w:p>
        </w:tc>
      </w:tr>
    </w:tbl>
    <w:p w14:paraId="27A8B03B" w14:textId="4B8F2679" w:rsidR="00551562" w:rsidRPr="00973AF7" w:rsidRDefault="0033100E" w:rsidP="00551562">
      <w:pPr>
        <w:pStyle w:val="Bbodytext"/>
        <w:rPr>
          <w:rFonts w:cstheme="minorHAnsi"/>
        </w:rPr>
      </w:pPr>
      <w:r w:rsidRPr="00973AF7">
        <w:t xml:space="preserve">The Government </w:t>
      </w:r>
      <w:r w:rsidR="00E24A83">
        <w:t>is providing</w:t>
      </w:r>
      <w:r w:rsidRPr="00973AF7">
        <w:t xml:space="preserve"> b</w:t>
      </w:r>
      <w:r w:rsidR="00551562" w:rsidRPr="00973AF7">
        <w:t xml:space="preserve">usinesses whose operations were directly affected by </w:t>
      </w:r>
      <w:r w:rsidR="00520484" w:rsidRPr="00973AF7">
        <w:t>restrictions and prohibitions as part of the COVID-19 public health response</w:t>
      </w:r>
      <w:r w:rsidRPr="00973AF7">
        <w:t xml:space="preserve"> a </w:t>
      </w:r>
      <w:r w:rsidR="00551562" w:rsidRPr="00973AF7">
        <w:t xml:space="preserve">six-month waiver </w:t>
      </w:r>
      <w:r w:rsidR="00551562" w:rsidRPr="00973AF7">
        <w:rPr>
          <w:rFonts w:cstheme="minorHAnsi"/>
        </w:rPr>
        <w:t>of payroll tax from April to September 2020</w:t>
      </w:r>
      <w:r w:rsidR="00473880">
        <w:rPr>
          <w:rFonts w:cstheme="minorHAnsi"/>
        </w:rPr>
        <w:t xml:space="preserve">. </w:t>
      </w:r>
      <w:r w:rsidRPr="00973AF7">
        <w:rPr>
          <w:rFonts w:cstheme="minorHAnsi"/>
        </w:rPr>
        <w:t>Businesses covered include</w:t>
      </w:r>
      <w:r w:rsidR="00520484" w:rsidRPr="00973AF7">
        <w:rPr>
          <w:rFonts w:cstheme="minorHAnsi"/>
        </w:rPr>
        <w:t xml:space="preserve"> hotels, clubs, cafes, restaurants, creative arts and entertainment industries, </w:t>
      </w:r>
      <w:r w:rsidR="00520484" w:rsidRPr="00973AF7">
        <w:t>gyms and indoor sporting venues, cinemas, beauty therapists and nail salons</w:t>
      </w:r>
      <w:r w:rsidR="00473880">
        <w:t xml:space="preserve">.  </w:t>
      </w:r>
    </w:p>
    <w:p w14:paraId="35035B35" w14:textId="26404493" w:rsidR="00551562" w:rsidRPr="00973AF7" w:rsidRDefault="00551562" w:rsidP="004833CF">
      <w:pPr>
        <w:pStyle w:val="Bbodytext"/>
      </w:pPr>
      <w:r w:rsidRPr="00973AF7">
        <w:t xml:space="preserve">Eligible businesses can apply via the </w:t>
      </w:r>
      <w:hyperlink r:id="rId18" w:history="1">
        <w:r w:rsidRPr="00973AF7">
          <w:rPr>
            <w:rStyle w:val="Hyperlink"/>
            <w:rFonts w:cstheme="minorHAnsi"/>
            <w:szCs w:val="24"/>
          </w:rPr>
          <w:t>ACT Revenue Office website</w:t>
        </w:r>
      </w:hyperlink>
      <w:r w:rsidR="00473880">
        <w:rPr>
          <w:rStyle w:val="Hyperlink"/>
          <w:rFonts w:cstheme="minorHAnsi"/>
          <w:szCs w:val="24"/>
        </w:rPr>
        <w:t xml:space="preserve">. </w:t>
      </w:r>
    </w:p>
    <w:p w14:paraId="050ECC1E" w14:textId="7910FE82" w:rsidR="00A40C60" w:rsidRPr="00973AF7" w:rsidRDefault="00A40C60" w:rsidP="00A40C60">
      <w:pPr>
        <w:pStyle w:val="Heading3"/>
      </w:pPr>
      <w:r w:rsidRPr="00973AF7">
        <w:t xml:space="preserve">Rental relief </w:t>
      </w:r>
      <w:r w:rsidR="00877AFB">
        <w:t>–</w:t>
      </w:r>
      <w:r w:rsidRPr="00973AF7">
        <w:t xml:space="preserve"> ACT government properties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09B72890" w14:textId="77777777" w:rsidTr="00C72836">
        <w:tc>
          <w:tcPr>
            <w:tcW w:w="2510" w:type="dxa"/>
            <w:tcBorders>
              <w:bottom w:val="single" w:sz="4" w:space="0" w:color="auto"/>
            </w:tcBorders>
          </w:tcPr>
          <w:p w14:paraId="23B95904" w14:textId="77777777" w:rsidR="00A40C60" w:rsidRPr="00973AF7" w:rsidRDefault="00A40C60" w:rsidP="00C72836">
            <w:pPr>
              <w:pStyle w:val="Initiativefigures"/>
              <w:keepNext/>
              <w:keepLines/>
            </w:pPr>
          </w:p>
        </w:tc>
        <w:tc>
          <w:tcPr>
            <w:tcW w:w="1301" w:type="dxa"/>
            <w:tcBorders>
              <w:bottom w:val="single" w:sz="4" w:space="0" w:color="auto"/>
            </w:tcBorders>
          </w:tcPr>
          <w:p w14:paraId="1898B82F" w14:textId="77777777" w:rsidR="00A40C60" w:rsidRPr="00973AF7" w:rsidRDefault="00A40C60" w:rsidP="00C72836">
            <w:pPr>
              <w:pStyle w:val="Initiativefigures"/>
              <w:keepNext/>
              <w:keepLines/>
            </w:pPr>
            <w:r w:rsidRPr="00973AF7">
              <w:t>2019-20</w:t>
            </w:r>
          </w:p>
          <w:p w14:paraId="35DEB2B9"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3B7B4045" w14:textId="77777777" w:rsidR="00A40C60" w:rsidRPr="00973AF7" w:rsidRDefault="00A40C60" w:rsidP="00C72836">
            <w:pPr>
              <w:pStyle w:val="Initiativefigures"/>
              <w:keepNext/>
              <w:keepLines/>
            </w:pPr>
            <w:r w:rsidRPr="00973AF7">
              <w:t>2020-21</w:t>
            </w:r>
          </w:p>
          <w:p w14:paraId="025D6179"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53712098" w14:textId="77777777" w:rsidR="00A40C60" w:rsidRPr="00973AF7" w:rsidRDefault="00A40C60" w:rsidP="00C72836">
            <w:pPr>
              <w:pStyle w:val="Initiativefigures"/>
              <w:keepNext/>
              <w:keepLines/>
            </w:pPr>
            <w:r w:rsidRPr="00973AF7">
              <w:t>2021-22</w:t>
            </w:r>
          </w:p>
          <w:p w14:paraId="35FC458F" w14:textId="77777777" w:rsidR="00A40C60" w:rsidRPr="00973AF7" w:rsidRDefault="00A40C60" w:rsidP="00C72836">
            <w:pPr>
              <w:pStyle w:val="Initiativefigures"/>
              <w:keepNext/>
              <w:keepLines/>
            </w:pPr>
            <w:r w:rsidRPr="00973AF7">
              <w:t>$’000</w:t>
            </w:r>
          </w:p>
        </w:tc>
        <w:tc>
          <w:tcPr>
            <w:tcW w:w="1301" w:type="dxa"/>
            <w:tcBorders>
              <w:bottom w:val="single" w:sz="4" w:space="0" w:color="auto"/>
            </w:tcBorders>
          </w:tcPr>
          <w:p w14:paraId="2A053D5E" w14:textId="77777777" w:rsidR="00A40C60" w:rsidRPr="00973AF7" w:rsidRDefault="00A40C60" w:rsidP="00C72836">
            <w:pPr>
              <w:pStyle w:val="Initiativefigures"/>
              <w:keepNext/>
              <w:keepLines/>
            </w:pPr>
            <w:r w:rsidRPr="00973AF7">
              <w:t>2022-23</w:t>
            </w:r>
          </w:p>
          <w:p w14:paraId="260FFE64" w14:textId="77777777" w:rsidR="00A40C60" w:rsidRPr="00973AF7" w:rsidRDefault="00A40C60" w:rsidP="00C72836">
            <w:pPr>
              <w:pStyle w:val="Initiativefigures"/>
              <w:keepNext/>
              <w:keepLines/>
            </w:pPr>
            <w:r w:rsidRPr="00973AF7">
              <w:t>$’000</w:t>
            </w:r>
          </w:p>
        </w:tc>
        <w:tc>
          <w:tcPr>
            <w:tcW w:w="1302" w:type="dxa"/>
            <w:tcBorders>
              <w:bottom w:val="single" w:sz="4" w:space="0" w:color="auto"/>
            </w:tcBorders>
          </w:tcPr>
          <w:p w14:paraId="4E9F017E" w14:textId="77777777" w:rsidR="00A40C60" w:rsidRPr="00973AF7" w:rsidRDefault="00A40C60" w:rsidP="00C72836">
            <w:pPr>
              <w:pStyle w:val="Initiativefigures"/>
              <w:keepNext/>
              <w:keepLines/>
              <w:rPr>
                <w:b/>
                <w:bCs/>
              </w:rPr>
            </w:pPr>
            <w:r w:rsidRPr="00973AF7">
              <w:rPr>
                <w:b/>
                <w:bCs/>
              </w:rPr>
              <w:t xml:space="preserve">Total </w:t>
            </w:r>
          </w:p>
          <w:p w14:paraId="45091D55" w14:textId="77777777" w:rsidR="00A40C60" w:rsidRPr="00973AF7" w:rsidRDefault="00A40C60" w:rsidP="00C72836">
            <w:pPr>
              <w:pStyle w:val="Initiativefigures"/>
              <w:keepNext/>
              <w:keepLines/>
              <w:rPr>
                <w:b/>
                <w:bCs/>
              </w:rPr>
            </w:pPr>
            <w:r w:rsidRPr="00973AF7">
              <w:rPr>
                <w:b/>
                <w:bCs/>
              </w:rPr>
              <w:t>$’000</w:t>
            </w:r>
          </w:p>
        </w:tc>
      </w:tr>
      <w:tr w:rsidR="00A40C60" w:rsidRPr="00973AF7" w14:paraId="15F94481" w14:textId="77777777" w:rsidTr="00C72836">
        <w:tc>
          <w:tcPr>
            <w:tcW w:w="2510" w:type="dxa"/>
            <w:tcBorders>
              <w:bottom w:val="single" w:sz="4" w:space="0" w:color="auto"/>
            </w:tcBorders>
          </w:tcPr>
          <w:p w14:paraId="529BD841" w14:textId="77777777" w:rsidR="00A40C60" w:rsidRPr="00973AF7" w:rsidRDefault="00A40C60" w:rsidP="00C72836">
            <w:pPr>
              <w:pStyle w:val="Initiativetext"/>
              <w:keepNext/>
              <w:keepLines/>
            </w:pPr>
            <w:r w:rsidRPr="00973AF7">
              <w:t>Revenue forgone</w:t>
            </w:r>
          </w:p>
        </w:tc>
        <w:tc>
          <w:tcPr>
            <w:tcW w:w="1301" w:type="dxa"/>
            <w:tcBorders>
              <w:bottom w:val="single" w:sz="4" w:space="0" w:color="auto"/>
            </w:tcBorders>
          </w:tcPr>
          <w:p w14:paraId="3FC41B71" w14:textId="77777777" w:rsidR="00A40C60" w:rsidRPr="00973AF7" w:rsidRDefault="00A40C60" w:rsidP="00C72836">
            <w:pPr>
              <w:pStyle w:val="Initiativefigures"/>
              <w:keepNext/>
              <w:keepLines/>
            </w:pPr>
            <w:r w:rsidRPr="00973AF7">
              <w:t>4,600</w:t>
            </w:r>
          </w:p>
        </w:tc>
        <w:tc>
          <w:tcPr>
            <w:tcW w:w="1301" w:type="dxa"/>
            <w:tcBorders>
              <w:bottom w:val="single" w:sz="4" w:space="0" w:color="auto"/>
            </w:tcBorders>
          </w:tcPr>
          <w:p w14:paraId="615D921E" w14:textId="77777777" w:rsidR="00A40C60" w:rsidRPr="00973AF7" w:rsidRDefault="00A40C60" w:rsidP="00C72836">
            <w:pPr>
              <w:pStyle w:val="Initiativefigures"/>
              <w:keepNext/>
              <w:keepLines/>
            </w:pPr>
            <w:r w:rsidRPr="00973AF7">
              <w:t>4,600</w:t>
            </w:r>
          </w:p>
        </w:tc>
        <w:tc>
          <w:tcPr>
            <w:tcW w:w="1301" w:type="dxa"/>
            <w:tcBorders>
              <w:bottom w:val="single" w:sz="4" w:space="0" w:color="auto"/>
            </w:tcBorders>
          </w:tcPr>
          <w:p w14:paraId="5DBB8175" w14:textId="77777777" w:rsidR="00A40C60" w:rsidRPr="00973AF7" w:rsidRDefault="00A40C60" w:rsidP="00C72836">
            <w:pPr>
              <w:pStyle w:val="Initiativefigures"/>
              <w:keepNext/>
              <w:keepLines/>
            </w:pPr>
            <w:r w:rsidRPr="00973AF7">
              <w:t>0</w:t>
            </w:r>
          </w:p>
        </w:tc>
        <w:tc>
          <w:tcPr>
            <w:tcW w:w="1301" w:type="dxa"/>
            <w:tcBorders>
              <w:bottom w:val="single" w:sz="4" w:space="0" w:color="auto"/>
            </w:tcBorders>
          </w:tcPr>
          <w:p w14:paraId="7D62494E" w14:textId="77777777" w:rsidR="00A40C60" w:rsidRPr="00973AF7" w:rsidRDefault="00A40C60" w:rsidP="00C72836">
            <w:pPr>
              <w:pStyle w:val="Initiativefigures"/>
              <w:keepNext/>
              <w:keepLines/>
            </w:pPr>
            <w:r w:rsidRPr="00973AF7">
              <w:t>0</w:t>
            </w:r>
          </w:p>
        </w:tc>
        <w:tc>
          <w:tcPr>
            <w:tcW w:w="1302" w:type="dxa"/>
            <w:tcBorders>
              <w:bottom w:val="single" w:sz="4" w:space="0" w:color="auto"/>
            </w:tcBorders>
          </w:tcPr>
          <w:p w14:paraId="3EA33371" w14:textId="77777777" w:rsidR="00A40C60" w:rsidRPr="00973AF7" w:rsidRDefault="00A40C60" w:rsidP="00C72836">
            <w:pPr>
              <w:pStyle w:val="Initiativefigures"/>
              <w:keepNext/>
              <w:keepLines/>
              <w:rPr>
                <w:b/>
                <w:bCs/>
              </w:rPr>
            </w:pPr>
            <w:r w:rsidRPr="00973AF7">
              <w:rPr>
                <w:b/>
                <w:bCs/>
              </w:rPr>
              <w:t>9,200</w:t>
            </w:r>
          </w:p>
        </w:tc>
      </w:tr>
    </w:tbl>
    <w:p w14:paraId="16C5C329" w14:textId="7FAA7F47" w:rsidR="00A40C60" w:rsidRPr="00973AF7" w:rsidRDefault="00A40C60" w:rsidP="00A40C60">
      <w:pPr>
        <w:pStyle w:val="Bbodytext"/>
        <w:keepNext/>
        <w:keepLines/>
      </w:pPr>
      <w:r w:rsidRPr="00973AF7">
        <w:t>From 1 April 2020</w:t>
      </w:r>
      <w:r w:rsidR="00E24A83">
        <w:t xml:space="preserve"> to 30 September 2020</w:t>
      </w:r>
      <w:r w:rsidRPr="00973AF7">
        <w:t>, the Government will not charge any rent</w:t>
      </w:r>
      <w:r w:rsidR="00E24A83">
        <w:t xml:space="preserve"> </w:t>
      </w:r>
      <w:r w:rsidRPr="00973AF7">
        <w:t>to community groups occupying ACT Government owned properties including head-leased Housing Asset Assistance Program properties and school facilities that are rented to the community</w:t>
      </w:r>
      <w:r w:rsidR="00473880">
        <w:t xml:space="preserve">. </w:t>
      </w:r>
      <w:r w:rsidRPr="00973AF7">
        <w:t xml:space="preserve">The Government </w:t>
      </w:r>
      <w:r w:rsidR="00E24A83">
        <w:t>is</w:t>
      </w:r>
      <w:r w:rsidR="00E24A83" w:rsidRPr="00973AF7">
        <w:t xml:space="preserve"> </w:t>
      </w:r>
      <w:r w:rsidRPr="00973AF7">
        <w:t>also provid</w:t>
      </w:r>
      <w:r w:rsidR="00E24A83">
        <w:t>ing</w:t>
      </w:r>
      <w:r w:rsidRPr="00973AF7">
        <w:t xml:space="preserve"> up to $500,000 in funding to the head</w:t>
      </w:r>
      <w:r w:rsidRPr="00973AF7">
        <w:noBreakHyphen/>
        <w:t>licensees of arts facilities to enable the waiving of fees for sub-licensees for 6 months (supporting 65 smaller arts organisations)</w:t>
      </w:r>
      <w:r w:rsidR="00473880">
        <w:t xml:space="preserve">. </w:t>
      </w:r>
    </w:p>
    <w:p w14:paraId="3BDCBB82" w14:textId="4DA6DD8B" w:rsidR="009C357F" w:rsidRDefault="00A40C60" w:rsidP="00A40C60">
      <w:pPr>
        <w:pStyle w:val="Bbodytext"/>
        <w:keepNext/>
        <w:keepLines/>
      </w:pPr>
      <w:r w:rsidRPr="00973AF7">
        <w:t>Support is also available for commercial tenants of ACT Government owned properties where they have suffered a loss of revenue as a result of COVID</w:t>
      </w:r>
      <w:r w:rsidRPr="00973AF7">
        <w:noBreakHyphen/>
        <w:t>19</w:t>
      </w:r>
      <w:r w:rsidR="00473880">
        <w:t xml:space="preserve">. </w:t>
      </w:r>
    </w:p>
    <w:p w14:paraId="158DF83D" w14:textId="77777777" w:rsidR="009C357F" w:rsidRDefault="009C357F">
      <w:pPr>
        <w:rPr>
          <w:sz w:val="24"/>
        </w:rPr>
      </w:pPr>
      <w:r>
        <w:br w:type="page"/>
      </w:r>
    </w:p>
    <w:p w14:paraId="71AECE7C" w14:textId="77777777" w:rsidR="00A40C60" w:rsidRPr="00973AF7" w:rsidRDefault="00A40C60" w:rsidP="00A40C60">
      <w:pPr>
        <w:pStyle w:val="Heading3"/>
        <w:rPr>
          <w:bCs/>
        </w:rPr>
      </w:pPr>
      <w:r w:rsidRPr="00973AF7">
        <w:lastRenderedPageBreak/>
        <w:t>Supporting Community Clubs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A40C60" w:rsidRPr="00973AF7" w14:paraId="612DBBE0" w14:textId="77777777" w:rsidTr="00C72836">
        <w:tc>
          <w:tcPr>
            <w:tcW w:w="2510" w:type="dxa"/>
            <w:tcBorders>
              <w:bottom w:val="single" w:sz="4" w:space="0" w:color="auto"/>
            </w:tcBorders>
            <w:shd w:val="clear" w:color="auto" w:fill="auto"/>
          </w:tcPr>
          <w:p w14:paraId="5A3460AF" w14:textId="77777777" w:rsidR="00A40C60" w:rsidRPr="00973AF7" w:rsidRDefault="00A40C60" w:rsidP="00C72836">
            <w:pPr>
              <w:pStyle w:val="Initiativefigures"/>
            </w:pPr>
          </w:p>
        </w:tc>
        <w:tc>
          <w:tcPr>
            <w:tcW w:w="1301" w:type="dxa"/>
            <w:tcBorders>
              <w:bottom w:val="single" w:sz="4" w:space="0" w:color="auto"/>
            </w:tcBorders>
            <w:shd w:val="clear" w:color="auto" w:fill="auto"/>
          </w:tcPr>
          <w:p w14:paraId="266DFA4F" w14:textId="77777777" w:rsidR="00A40C60" w:rsidRPr="00973AF7" w:rsidRDefault="00A40C60" w:rsidP="00C72836">
            <w:pPr>
              <w:pStyle w:val="Initiativefigures"/>
            </w:pPr>
            <w:r w:rsidRPr="00973AF7">
              <w:t>2019-20</w:t>
            </w:r>
          </w:p>
          <w:p w14:paraId="64286F48" w14:textId="77777777" w:rsidR="00A40C60" w:rsidRPr="00973AF7" w:rsidRDefault="00A40C60" w:rsidP="00C72836">
            <w:pPr>
              <w:pStyle w:val="Initiativefigures"/>
            </w:pPr>
            <w:r w:rsidRPr="00973AF7">
              <w:t>$’000</w:t>
            </w:r>
          </w:p>
        </w:tc>
        <w:tc>
          <w:tcPr>
            <w:tcW w:w="1301" w:type="dxa"/>
            <w:tcBorders>
              <w:bottom w:val="single" w:sz="4" w:space="0" w:color="auto"/>
            </w:tcBorders>
            <w:shd w:val="clear" w:color="auto" w:fill="auto"/>
          </w:tcPr>
          <w:p w14:paraId="7E41FB0A" w14:textId="77777777" w:rsidR="00A40C60" w:rsidRPr="00973AF7" w:rsidRDefault="00A40C60" w:rsidP="00C72836">
            <w:pPr>
              <w:pStyle w:val="Initiativefigures"/>
            </w:pPr>
            <w:r w:rsidRPr="00973AF7">
              <w:t>2020-21</w:t>
            </w:r>
          </w:p>
          <w:p w14:paraId="44489F53" w14:textId="77777777" w:rsidR="00A40C60" w:rsidRPr="00973AF7" w:rsidRDefault="00A40C60" w:rsidP="00C72836">
            <w:pPr>
              <w:pStyle w:val="Initiativefigures"/>
            </w:pPr>
            <w:r w:rsidRPr="00973AF7">
              <w:t>$’000</w:t>
            </w:r>
          </w:p>
        </w:tc>
        <w:tc>
          <w:tcPr>
            <w:tcW w:w="1301" w:type="dxa"/>
            <w:tcBorders>
              <w:bottom w:val="single" w:sz="4" w:space="0" w:color="auto"/>
            </w:tcBorders>
            <w:shd w:val="clear" w:color="auto" w:fill="auto"/>
          </w:tcPr>
          <w:p w14:paraId="31151430" w14:textId="77777777" w:rsidR="00A40C60" w:rsidRPr="00973AF7" w:rsidRDefault="00A40C60" w:rsidP="00C72836">
            <w:pPr>
              <w:pStyle w:val="Initiativefigures"/>
            </w:pPr>
            <w:r w:rsidRPr="00973AF7">
              <w:t>2021-22</w:t>
            </w:r>
          </w:p>
          <w:p w14:paraId="10B43189" w14:textId="77777777" w:rsidR="00A40C60" w:rsidRPr="00973AF7" w:rsidRDefault="00A40C60" w:rsidP="00C72836">
            <w:pPr>
              <w:pStyle w:val="Initiativefigures"/>
            </w:pPr>
            <w:r w:rsidRPr="00973AF7">
              <w:t>$’000</w:t>
            </w:r>
          </w:p>
        </w:tc>
        <w:tc>
          <w:tcPr>
            <w:tcW w:w="1301" w:type="dxa"/>
            <w:tcBorders>
              <w:bottom w:val="single" w:sz="4" w:space="0" w:color="auto"/>
            </w:tcBorders>
            <w:shd w:val="clear" w:color="auto" w:fill="auto"/>
          </w:tcPr>
          <w:p w14:paraId="6BDCFBCE" w14:textId="77777777" w:rsidR="00A40C60" w:rsidRPr="00973AF7" w:rsidRDefault="00A40C60" w:rsidP="00C72836">
            <w:pPr>
              <w:pStyle w:val="Initiativefigures"/>
            </w:pPr>
            <w:r w:rsidRPr="00973AF7">
              <w:t>2022-23</w:t>
            </w:r>
          </w:p>
          <w:p w14:paraId="17B50008" w14:textId="77777777" w:rsidR="00A40C60" w:rsidRPr="00973AF7" w:rsidRDefault="00A40C60" w:rsidP="00C72836">
            <w:pPr>
              <w:pStyle w:val="Initiativefigures"/>
            </w:pPr>
            <w:r w:rsidRPr="00973AF7">
              <w:t>$’000</w:t>
            </w:r>
          </w:p>
        </w:tc>
        <w:tc>
          <w:tcPr>
            <w:tcW w:w="1302" w:type="dxa"/>
            <w:tcBorders>
              <w:bottom w:val="single" w:sz="4" w:space="0" w:color="auto"/>
            </w:tcBorders>
            <w:shd w:val="clear" w:color="auto" w:fill="auto"/>
          </w:tcPr>
          <w:p w14:paraId="15CEDF7E" w14:textId="77777777" w:rsidR="00A40C60" w:rsidRPr="00973AF7" w:rsidRDefault="00A40C60" w:rsidP="00C72836">
            <w:pPr>
              <w:pStyle w:val="Initiativefigures"/>
              <w:rPr>
                <w:b/>
                <w:bCs/>
              </w:rPr>
            </w:pPr>
            <w:r w:rsidRPr="00973AF7">
              <w:rPr>
                <w:b/>
                <w:bCs/>
              </w:rPr>
              <w:t xml:space="preserve">Total </w:t>
            </w:r>
          </w:p>
          <w:p w14:paraId="3C609B2C" w14:textId="77777777" w:rsidR="00A40C60" w:rsidRPr="00973AF7" w:rsidRDefault="00A40C60" w:rsidP="00C72836">
            <w:pPr>
              <w:pStyle w:val="Initiativefigures"/>
              <w:rPr>
                <w:b/>
                <w:bCs/>
              </w:rPr>
            </w:pPr>
            <w:r w:rsidRPr="00973AF7">
              <w:rPr>
                <w:b/>
                <w:bCs/>
              </w:rPr>
              <w:t>$’000</w:t>
            </w:r>
          </w:p>
        </w:tc>
      </w:tr>
      <w:tr w:rsidR="00A40C60" w:rsidRPr="00973AF7" w14:paraId="408970F5" w14:textId="77777777" w:rsidTr="00C72836">
        <w:tc>
          <w:tcPr>
            <w:tcW w:w="2510" w:type="dxa"/>
            <w:tcBorders>
              <w:bottom w:val="single" w:sz="4" w:space="0" w:color="auto"/>
            </w:tcBorders>
            <w:shd w:val="clear" w:color="auto" w:fill="auto"/>
          </w:tcPr>
          <w:p w14:paraId="328D78DC" w14:textId="77777777" w:rsidR="00A40C60" w:rsidRPr="00973AF7" w:rsidRDefault="00A40C60" w:rsidP="00C72836">
            <w:pPr>
              <w:pStyle w:val="Initiativetext"/>
            </w:pPr>
            <w:r w:rsidRPr="00973AF7">
              <w:t>Expense</w:t>
            </w:r>
          </w:p>
        </w:tc>
        <w:tc>
          <w:tcPr>
            <w:tcW w:w="1301" w:type="dxa"/>
            <w:tcBorders>
              <w:bottom w:val="single" w:sz="4" w:space="0" w:color="auto"/>
            </w:tcBorders>
            <w:shd w:val="clear" w:color="auto" w:fill="auto"/>
          </w:tcPr>
          <w:p w14:paraId="78626CC1" w14:textId="77777777" w:rsidR="00A40C60" w:rsidRPr="00973AF7" w:rsidRDefault="00A40C60" w:rsidP="00C72836">
            <w:pPr>
              <w:pStyle w:val="Initiativefigures"/>
            </w:pPr>
            <w:r w:rsidRPr="00973AF7">
              <w:t>5,888</w:t>
            </w:r>
          </w:p>
        </w:tc>
        <w:tc>
          <w:tcPr>
            <w:tcW w:w="1301" w:type="dxa"/>
            <w:tcBorders>
              <w:bottom w:val="single" w:sz="4" w:space="0" w:color="auto"/>
            </w:tcBorders>
            <w:shd w:val="clear" w:color="auto" w:fill="auto"/>
          </w:tcPr>
          <w:p w14:paraId="72F32A56" w14:textId="77777777" w:rsidR="00A40C60" w:rsidRPr="00973AF7" w:rsidRDefault="00A40C60" w:rsidP="00C72836">
            <w:pPr>
              <w:pStyle w:val="Initiativefigures"/>
            </w:pPr>
            <w:r w:rsidRPr="00973AF7">
              <w:t>0</w:t>
            </w:r>
          </w:p>
        </w:tc>
        <w:tc>
          <w:tcPr>
            <w:tcW w:w="1301" w:type="dxa"/>
            <w:tcBorders>
              <w:bottom w:val="single" w:sz="4" w:space="0" w:color="auto"/>
            </w:tcBorders>
            <w:shd w:val="clear" w:color="auto" w:fill="auto"/>
          </w:tcPr>
          <w:p w14:paraId="75AC19C1" w14:textId="77777777" w:rsidR="00A40C60" w:rsidRPr="00973AF7" w:rsidRDefault="00A40C60" w:rsidP="00C72836">
            <w:pPr>
              <w:pStyle w:val="Initiativefigures"/>
            </w:pPr>
            <w:r w:rsidRPr="00973AF7">
              <w:t>0</w:t>
            </w:r>
          </w:p>
        </w:tc>
        <w:tc>
          <w:tcPr>
            <w:tcW w:w="1301" w:type="dxa"/>
            <w:tcBorders>
              <w:bottom w:val="single" w:sz="4" w:space="0" w:color="auto"/>
            </w:tcBorders>
            <w:shd w:val="clear" w:color="auto" w:fill="auto"/>
          </w:tcPr>
          <w:p w14:paraId="6664EC55" w14:textId="77777777" w:rsidR="00A40C60" w:rsidRPr="00973AF7" w:rsidRDefault="00A40C60" w:rsidP="00C72836">
            <w:pPr>
              <w:pStyle w:val="Initiativefigures"/>
            </w:pPr>
            <w:r w:rsidRPr="00973AF7">
              <w:t>0</w:t>
            </w:r>
          </w:p>
        </w:tc>
        <w:tc>
          <w:tcPr>
            <w:tcW w:w="1302" w:type="dxa"/>
            <w:tcBorders>
              <w:bottom w:val="single" w:sz="4" w:space="0" w:color="auto"/>
            </w:tcBorders>
            <w:shd w:val="clear" w:color="auto" w:fill="auto"/>
          </w:tcPr>
          <w:p w14:paraId="48CB7662" w14:textId="77777777" w:rsidR="00A40C60" w:rsidRPr="00973AF7" w:rsidRDefault="00A40C60" w:rsidP="00C72836">
            <w:pPr>
              <w:pStyle w:val="Initiativefigures"/>
              <w:rPr>
                <w:b/>
                <w:bCs/>
              </w:rPr>
            </w:pPr>
            <w:r w:rsidRPr="00973AF7">
              <w:rPr>
                <w:b/>
                <w:bCs/>
              </w:rPr>
              <w:t>5,888</w:t>
            </w:r>
          </w:p>
        </w:tc>
      </w:tr>
    </w:tbl>
    <w:p w14:paraId="73BF3B4C" w14:textId="0ABB2825" w:rsidR="00A40C60" w:rsidRPr="00973AF7" w:rsidRDefault="00A40C60" w:rsidP="00A40C60">
      <w:pPr>
        <w:pStyle w:val="Bbodytext"/>
      </w:pPr>
      <w:r w:rsidRPr="00973AF7">
        <w:t xml:space="preserve">The Government </w:t>
      </w:r>
      <w:r w:rsidR="00E24A83">
        <w:t>is</w:t>
      </w:r>
      <w:r w:rsidR="00E24A83" w:rsidRPr="00973AF7">
        <w:t xml:space="preserve"> </w:t>
      </w:r>
      <w:r w:rsidRPr="00973AF7">
        <w:t>provid</w:t>
      </w:r>
      <w:r w:rsidR="00E24A83">
        <w:t>ing</w:t>
      </w:r>
      <w:r w:rsidRPr="00973AF7">
        <w:t xml:space="preserve"> further support to </w:t>
      </w:r>
      <w:r w:rsidR="002B05D0">
        <w:t xml:space="preserve">Canberra’s </w:t>
      </w:r>
      <w:r w:rsidRPr="00973AF7">
        <w:t>community clubs and Casino, to enable them to keep staff employed</w:t>
      </w:r>
      <w:r w:rsidR="00473880">
        <w:t xml:space="preserve">. </w:t>
      </w:r>
      <w:r w:rsidRPr="00973AF7">
        <w:t>Measures include:</w:t>
      </w:r>
    </w:p>
    <w:p w14:paraId="0A52B9B7" w14:textId="16079943" w:rsidR="00A40C60" w:rsidRPr="00973AF7" w:rsidRDefault="00A40C60" w:rsidP="00A40C60">
      <w:pPr>
        <w:pStyle w:val="BBullet1"/>
      </w:pPr>
      <w:r w:rsidRPr="00973AF7">
        <w:t>Providing clubs with the opportunity to access a payment of $15,000 per authorisation if they voluntarily surrender gaming machine authorisations</w:t>
      </w:r>
      <w:r w:rsidR="00473880">
        <w:t xml:space="preserve">. </w:t>
      </w:r>
    </w:p>
    <w:p w14:paraId="22AB5290" w14:textId="26682E01" w:rsidR="00A40C60" w:rsidRPr="00973AF7" w:rsidRDefault="00A40C60" w:rsidP="00A40C60">
      <w:pPr>
        <w:pStyle w:val="BBullet1"/>
      </w:pPr>
      <w:r w:rsidRPr="00973AF7">
        <w:t>A waiver/refund of gaming machine tax liabilities for clubs for March 2020 activity (for larger clubs that pay gaming tax monthly) or for first quarter 2020 activity (for smaller clubs that pay gaming tax quarterly)</w:t>
      </w:r>
      <w:r w:rsidR="00473880">
        <w:t xml:space="preserve">.  </w:t>
      </w:r>
    </w:p>
    <w:p w14:paraId="218B10D1" w14:textId="4D19E2B5" w:rsidR="00A40C60" w:rsidRPr="00973AF7" w:rsidRDefault="00A40C60" w:rsidP="00A40C60">
      <w:pPr>
        <w:pStyle w:val="BBullet1"/>
        <w:rPr>
          <w:rFonts w:cstheme="minorHAnsi"/>
        </w:rPr>
      </w:pPr>
      <w:r w:rsidRPr="00973AF7">
        <w:t xml:space="preserve">The Government </w:t>
      </w:r>
      <w:r w:rsidR="00E24A83" w:rsidRPr="002A18F2">
        <w:t>has made</w:t>
      </w:r>
      <w:r w:rsidRPr="00973AF7">
        <w:t xml:space="preserve"> an additional $1</w:t>
      </w:r>
      <w:r w:rsidR="00473880">
        <w:t>.</w:t>
      </w:r>
      <w:r w:rsidRPr="00973AF7">
        <w:t>5 million contribution to the Clubs Diversification Fund, which will support clubs in the ACT to keep staff employed on the Clubs award rate</w:t>
      </w:r>
      <w:r w:rsidR="00473880">
        <w:t xml:space="preserve">.  </w:t>
      </w:r>
    </w:p>
    <w:p w14:paraId="6F10E5BC" w14:textId="751B07FA" w:rsidR="00A40C60" w:rsidRPr="00973AF7" w:rsidRDefault="00A40C60" w:rsidP="00A40C60">
      <w:pPr>
        <w:pStyle w:val="Bbodytext"/>
      </w:pPr>
      <w:r w:rsidRPr="00973AF7">
        <w:t xml:space="preserve">This estimate has been revised down from the original estimate, due to </w:t>
      </w:r>
      <w:r w:rsidR="002B05D0">
        <w:t xml:space="preserve">initial </w:t>
      </w:r>
      <w:r w:rsidRPr="00973AF7">
        <w:t xml:space="preserve">take-up of measures being lower than originally </w:t>
      </w:r>
      <w:r w:rsidR="002B05D0">
        <w:t>estimated</w:t>
      </w:r>
      <w:r w:rsidR="00473880">
        <w:t xml:space="preserve">. </w:t>
      </w:r>
      <w:r w:rsidRPr="00973AF7">
        <w:t xml:space="preserve">The final cost of this initiative will depend on the </w:t>
      </w:r>
      <w:r w:rsidR="002B05D0">
        <w:t xml:space="preserve">final </w:t>
      </w:r>
      <w:r w:rsidRPr="00973AF7">
        <w:t>take-up of available measures</w:t>
      </w:r>
      <w:r w:rsidR="00473880">
        <w:t xml:space="preserve">. </w:t>
      </w:r>
      <w:r w:rsidRPr="00973AF7">
        <w:t xml:space="preserve"> </w:t>
      </w:r>
    </w:p>
    <w:p w14:paraId="764A45E5" w14:textId="17540A3E" w:rsidR="00A40C60" w:rsidRPr="00973AF7" w:rsidRDefault="00A40C60" w:rsidP="00A40C60">
      <w:pPr>
        <w:pStyle w:val="Bbodytext"/>
        <w:keepLines/>
        <w:rPr>
          <w:szCs w:val="24"/>
        </w:rPr>
      </w:pPr>
      <w:r w:rsidRPr="00973AF7">
        <w:rPr>
          <w:szCs w:val="24"/>
        </w:rPr>
        <w:t xml:space="preserve">Additionally, the </w:t>
      </w:r>
      <w:r w:rsidRPr="002A18F2">
        <w:rPr>
          <w:szCs w:val="24"/>
        </w:rPr>
        <w:t xml:space="preserve">Government </w:t>
      </w:r>
      <w:r w:rsidR="002A18F2">
        <w:rPr>
          <w:szCs w:val="24"/>
        </w:rPr>
        <w:t>has amended</w:t>
      </w:r>
      <w:r w:rsidRPr="00973AF7">
        <w:rPr>
          <w:szCs w:val="24"/>
        </w:rPr>
        <w:t xml:space="preserve"> legislation to allow payment of award wages to staff to be claimed as community contributions where an emergency declaration has been made and provide incentives for clubs to prepare food for the vulnerable</w:t>
      </w:r>
      <w:r w:rsidR="00473880">
        <w:rPr>
          <w:szCs w:val="24"/>
        </w:rPr>
        <w:t xml:space="preserve">.  </w:t>
      </w:r>
    </w:p>
    <w:p w14:paraId="1A70BEFC" w14:textId="0E19AE04" w:rsidR="00216E4B" w:rsidRPr="00877AFB" w:rsidRDefault="00AE6632" w:rsidP="00877AFB">
      <w:pPr>
        <w:pStyle w:val="Heading3"/>
      </w:pPr>
      <w:bookmarkStart w:id="5" w:name="_Hlk42874092"/>
      <w:bookmarkStart w:id="6" w:name="_Hlk42874162"/>
      <w:bookmarkStart w:id="7" w:name="_Hlk40711054"/>
      <w:r w:rsidRPr="00973AF7">
        <w:t xml:space="preserve">Training Support </w:t>
      </w:r>
      <w:r w:rsidR="00877AFB">
        <w:t>–</w:t>
      </w:r>
      <w:r w:rsidRPr="00973AF7">
        <w:t xml:space="preserve"> </w:t>
      </w:r>
      <w:r w:rsidR="00216E4B" w:rsidRPr="00973AF7">
        <w:t>National Infection Control Fund</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216E4B" w:rsidRPr="00973AF7" w14:paraId="69DB5BDD" w14:textId="77777777" w:rsidTr="003238B2">
        <w:tc>
          <w:tcPr>
            <w:tcW w:w="2510" w:type="dxa"/>
            <w:tcBorders>
              <w:bottom w:val="single" w:sz="4" w:space="0" w:color="auto"/>
            </w:tcBorders>
          </w:tcPr>
          <w:p w14:paraId="725B8E67" w14:textId="77777777" w:rsidR="00216E4B" w:rsidRPr="00973AF7" w:rsidRDefault="00216E4B" w:rsidP="00A40C60">
            <w:pPr>
              <w:pStyle w:val="Initiativefigures"/>
              <w:keepNext/>
              <w:keepLines/>
            </w:pPr>
          </w:p>
        </w:tc>
        <w:tc>
          <w:tcPr>
            <w:tcW w:w="1301" w:type="dxa"/>
            <w:tcBorders>
              <w:bottom w:val="single" w:sz="4" w:space="0" w:color="auto"/>
            </w:tcBorders>
          </w:tcPr>
          <w:p w14:paraId="3D7302D9" w14:textId="77777777" w:rsidR="00216E4B" w:rsidRPr="00973AF7" w:rsidRDefault="00216E4B" w:rsidP="00A40C60">
            <w:pPr>
              <w:pStyle w:val="Initiativefigures"/>
              <w:keepNext/>
              <w:keepLines/>
            </w:pPr>
            <w:r w:rsidRPr="00973AF7">
              <w:t>2019-20</w:t>
            </w:r>
          </w:p>
          <w:p w14:paraId="00411B5F" w14:textId="77777777" w:rsidR="00216E4B" w:rsidRPr="00973AF7" w:rsidRDefault="00216E4B" w:rsidP="00A40C60">
            <w:pPr>
              <w:pStyle w:val="Initiativefigures"/>
              <w:keepNext/>
              <w:keepLines/>
            </w:pPr>
            <w:r w:rsidRPr="00973AF7">
              <w:t>$’000</w:t>
            </w:r>
          </w:p>
        </w:tc>
        <w:tc>
          <w:tcPr>
            <w:tcW w:w="1301" w:type="dxa"/>
            <w:tcBorders>
              <w:bottom w:val="single" w:sz="4" w:space="0" w:color="auto"/>
            </w:tcBorders>
          </w:tcPr>
          <w:p w14:paraId="5CC3CB80" w14:textId="77777777" w:rsidR="00216E4B" w:rsidRPr="00973AF7" w:rsidRDefault="00216E4B" w:rsidP="00A40C60">
            <w:pPr>
              <w:pStyle w:val="Initiativefigures"/>
              <w:keepNext/>
              <w:keepLines/>
            </w:pPr>
            <w:r w:rsidRPr="00973AF7">
              <w:t>2020-21</w:t>
            </w:r>
          </w:p>
          <w:p w14:paraId="5E62CBFC" w14:textId="77777777" w:rsidR="00216E4B" w:rsidRPr="00973AF7" w:rsidRDefault="00216E4B" w:rsidP="00A40C60">
            <w:pPr>
              <w:pStyle w:val="Initiativefigures"/>
              <w:keepNext/>
              <w:keepLines/>
            </w:pPr>
            <w:r w:rsidRPr="00973AF7">
              <w:t>$’000</w:t>
            </w:r>
          </w:p>
        </w:tc>
        <w:tc>
          <w:tcPr>
            <w:tcW w:w="1301" w:type="dxa"/>
            <w:tcBorders>
              <w:bottom w:val="single" w:sz="4" w:space="0" w:color="auto"/>
            </w:tcBorders>
          </w:tcPr>
          <w:p w14:paraId="0F386CA6" w14:textId="77777777" w:rsidR="00216E4B" w:rsidRPr="00973AF7" w:rsidRDefault="00216E4B" w:rsidP="00A40C60">
            <w:pPr>
              <w:pStyle w:val="Initiativefigures"/>
              <w:keepNext/>
              <w:keepLines/>
            </w:pPr>
            <w:r w:rsidRPr="00973AF7">
              <w:t>2021-22</w:t>
            </w:r>
          </w:p>
          <w:p w14:paraId="02ACD794" w14:textId="77777777" w:rsidR="00216E4B" w:rsidRPr="00973AF7" w:rsidRDefault="00216E4B" w:rsidP="00A40C60">
            <w:pPr>
              <w:pStyle w:val="Initiativefigures"/>
              <w:keepNext/>
              <w:keepLines/>
            </w:pPr>
            <w:r w:rsidRPr="00973AF7">
              <w:t>$’000</w:t>
            </w:r>
          </w:p>
        </w:tc>
        <w:tc>
          <w:tcPr>
            <w:tcW w:w="1301" w:type="dxa"/>
            <w:tcBorders>
              <w:bottom w:val="single" w:sz="4" w:space="0" w:color="auto"/>
            </w:tcBorders>
          </w:tcPr>
          <w:p w14:paraId="3BD6EFE1" w14:textId="77777777" w:rsidR="00216E4B" w:rsidRPr="00973AF7" w:rsidRDefault="00216E4B" w:rsidP="00A40C60">
            <w:pPr>
              <w:pStyle w:val="Initiativefigures"/>
              <w:keepNext/>
              <w:keepLines/>
            </w:pPr>
            <w:r w:rsidRPr="00973AF7">
              <w:t>2022-23</w:t>
            </w:r>
          </w:p>
          <w:p w14:paraId="3FBD5D89" w14:textId="77777777" w:rsidR="00216E4B" w:rsidRPr="00973AF7" w:rsidRDefault="00216E4B" w:rsidP="00A40C60">
            <w:pPr>
              <w:pStyle w:val="Initiativefigures"/>
              <w:keepNext/>
              <w:keepLines/>
            </w:pPr>
            <w:r w:rsidRPr="00973AF7">
              <w:t>$’000</w:t>
            </w:r>
          </w:p>
        </w:tc>
        <w:tc>
          <w:tcPr>
            <w:tcW w:w="1302" w:type="dxa"/>
            <w:tcBorders>
              <w:bottom w:val="single" w:sz="4" w:space="0" w:color="auto"/>
            </w:tcBorders>
          </w:tcPr>
          <w:p w14:paraId="5EBA3698" w14:textId="77777777" w:rsidR="00216E4B" w:rsidRPr="00973AF7" w:rsidRDefault="00216E4B" w:rsidP="00A40C60">
            <w:pPr>
              <w:pStyle w:val="Initiativefigures"/>
              <w:keepNext/>
              <w:keepLines/>
              <w:rPr>
                <w:b/>
                <w:bCs/>
              </w:rPr>
            </w:pPr>
            <w:r w:rsidRPr="00973AF7">
              <w:rPr>
                <w:b/>
                <w:bCs/>
              </w:rPr>
              <w:t xml:space="preserve">Total </w:t>
            </w:r>
          </w:p>
          <w:p w14:paraId="28CD5FA7" w14:textId="77777777" w:rsidR="00216E4B" w:rsidRPr="00973AF7" w:rsidRDefault="00216E4B" w:rsidP="00A40C60">
            <w:pPr>
              <w:pStyle w:val="Initiativefigures"/>
              <w:keepNext/>
              <w:keepLines/>
              <w:rPr>
                <w:b/>
                <w:bCs/>
              </w:rPr>
            </w:pPr>
            <w:r w:rsidRPr="00973AF7">
              <w:rPr>
                <w:b/>
                <w:bCs/>
              </w:rPr>
              <w:t>$’000</w:t>
            </w:r>
          </w:p>
        </w:tc>
      </w:tr>
      <w:tr w:rsidR="00216E4B" w:rsidRPr="00973AF7" w14:paraId="67658EE9" w14:textId="77777777" w:rsidTr="003238B2">
        <w:tc>
          <w:tcPr>
            <w:tcW w:w="2510" w:type="dxa"/>
            <w:tcBorders>
              <w:bottom w:val="single" w:sz="4" w:space="0" w:color="auto"/>
            </w:tcBorders>
          </w:tcPr>
          <w:p w14:paraId="1F601118" w14:textId="77777777" w:rsidR="00216E4B" w:rsidRPr="00973AF7" w:rsidRDefault="00216E4B" w:rsidP="00A40C60">
            <w:pPr>
              <w:pStyle w:val="Initiativetext"/>
              <w:keepNext/>
              <w:keepLines/>
            </w:pPr>
            <w:r w:rsidRPr="00973AF7">
              <w:t>Expense</w:t>
            </w:r>
          </w:p>
        </w:tc>
        <w:tc>
          <w:tcPr>
            <w:tcW w:w="1301" w:type="dxa"/>
            <w:tcBorders>
              <w:bottom w:val="single" w:sz="4" w:space="0" w:color="auto"/>
            </w:tcBorders>
          </w:tcPr>
          <w:p w14:paraId="437C7719" w14:textId="77777777" w:rsidR="00216E4B" w:rsidRPr="00973AF7" w:rsidRDefault="00216E4B" w:rsidP="00A40C60">
            <w:pPr>
              <w:pStyle w:val="Initiativefigures"/>
              <w:keepNext/>
              <w:keepLines/>
            </w:pPr>
            <w:r w:rsidRPr="00973AF7">
              <w:t>0</w:t>
            </w:r>
          </w:p>
        </w:tc>
        <w:tc>
          <w:tcPr>
            <w:tcW w:w="1301" w:type="dxa"/>
            <w:tcBorders>
              <w:bottom w:val="single" w:sz="4" w:space="0" w:color="auto"/>
            </w:tcBorders>
          </w:tcPr>
          <w:p w14:paraId="18F1C876" w14:textId="77777777" w:rsidR="00216E4B" w:rsidRPr="00973AF7" w:rsidRDefault="00216E4B" w:rsidP="00A40C60">
            <w:pPr>
              <w:pStyle w:val="Initiativefigures"/>
              <w:keepNext/>
              <w:keepLines/>
            </w:pPr>
            <w:r w:rsidRPr="00973AF7">
              <w:t>670</w:t>
            </w:r>
          </w:p>
        </w:tc>
        <w:tc>
          <w:tcPr>
            <w:tcW w:w="1301" w:type="dxa"/>
            <w:tcBorders>
              <w:bottom w:val="single" w:sz="4" w:space="0" w:color="auto"/>
            </w:tcBorders>
          </w:tcPr>
          <w:p w14:paraId="0EA40A32" w14:textId="77777777" w:rsidR="00216E4B" w:rsidRPr="00973AF7" w:rsidRDefault="00216E4B" w:rsidP="00A40C60">
            <w:pPr>
              <w:pStyle w:val="Initiativefigures"/>
              <w:keepNext/>
              <w:keepLines/>
            </w:pPr>
            <w:r w:rsidRPr="00973AF7">
              <w:t>0</w:t>
            </w:r>
          </w:p>
        </w:tc>
        <w:tc>
          <w:tcPr>
            <w:tcW w:w="1301" w:type="dxa"/>
            <w:tcBorders>
              <w:bottom w:val="single" w:sz="4" w:space="0" w:color="auto"/>
            </w:tcBorders>
          </w:tcPr>
          <w:p w14:paraId="4627E3E6" w14:textId="77777777" w:rsidR="00216E4B" w:rsidRPr="00973AF7" w:rsidRDefault="00216E4B" w:rsidP="00A40C60">
            <w:pPr>
              <w:pStyle w:val="Initiativefigures"/>
              <w:keepNext/>
              <w:keepLines/>
            </w:pPr>
            <w:r w:rsidRPr="00973AF7">
              <w:t>0</w:t>
            </w:r>
          </w:p>
        </w:tc>
        <w:tc>
          <w:tcPr>
            <w:tcW w:w="1302" w:type="dxa"/>
            <w:tcBorders>
              <w:bottom w:val="single" w:sz="4" w:space="0" w:color="auto"/>
            </w:tcBorders>
          </w:tcPr>
          <w:p w14:paraId="035ED031" w14:textId="77777777" w:rsidR="00216E4B" w:rsidRPr="00973AF7" w:rsidRDefault="00216E4B" w:rsidP="00A40C60">
            <w:pPr>
              <w:pStyle w:val="Initiativefigures"/>
              <w:keepNext/>
              <w:keepLines/>
              <w:rPr>
                <w:b/>
                <w:bCs/>
              </w:rPr>
            </w:pPr>
            <w:r w:rsidRPr="00973AF7">
              <w:rPr>
                <w:b/>
                <w:bCs/>
              </w:rPr>
              <w:t>670</w:t>
            </w:r>
          </w:p>
        </w:tc>
      </w:tr>
    </w:tbl>
    <w:bookmarkEnd w:id="5"/>
    <w:p w14:paraId="3E2879CE" w14:textId="0A35797E" w:rsidR="00216E4B" w:rsidRPr="00973AF7" w:rsidRDefault="00216E4B" w:rsidP="00A40C60">
      <w:pPr>
        <w:pStyle w:val="Bbodytext"/>
        <w:keepNext/>
        <w:keepLines/>
        <w:rPr>
          <w:bCs/>
        </w:rPr>
      </w:pPr>
      <w:r w:rsidRPr="00973AF7">
        <w:rPr>
          <w:bCs/>
        </w:rPr>
        <w:t>The Government will contribute of up to $670,000</w:t>
      </w:r>
      <w:r w:rsidR="00AE6632" w:rsidRPr="00973AF7">
        <w:rPr>
          <w:bCs/>
        </w:rPr>
        <w:t xml:space="preserve"> </w:t>
      </w:r>
      <w:r w:rsidRPr="00973AF7">
        <w:rPr>
          <w:bCs/>
        </w:rPr>
        <w:t>towards the joint Commonwealth-</w:t>
      </w:r>
      <w:r w:rsidR="002B05D0">
        <w:rPr>
          <w:bCs/>
        </w:rPr>
        <w:t>Territory</w:t>
      </w:r>
      <w:r w:rsidR="002B05D0" w:rsidRPr="00973AF7">
        <w:rPr>
          <w:bCs/>
        </w:rPr>
        <w:t xml:space="preserve"> </w:t>
      </w:r>
      <w:r w:rsidRPr="00973AF7">
        <w:rPr>
          <w:bCs/>
        </w:rPr>
        <w:t>fund to deliver infection control training to workers, with a focus on customer facing roles in a range of industries</w:t>
      </w:r>
      <w:r w:rsidR="00473880">
        <w:rPr>
          <w:bCs/>
        </w:rPr>
        <w:t xml:space="preserve">. </w:t>
      </w:r>
      <w:r w:rsidRPr="00973AF7">
        <w:rPr>
          <w:bCs/>
        </w:rPr>
        <w:t>With Commonwealth matched funding, this will provide fully subsidised training for up to 3,800 people in the ACT</w:t>
      </w:r>
      <w:r w:rsidR="00473880">
        <w:rPr>
          <w:bCs/>
        </w:rPr>
        <w:t xml:space="preserve">.  </w:t>
      </w:r>
      <w:bookmarkEnd w:id="6"/>
    </w:p>
    <w:bookmarkEnd w:id="7"/>
    <w:p w14:paraId="564F884F" w14:textId="0ECC8006" w:rsidR="00791A5D" w:rsidRPr="00973AF7" w:rsidRDefault="00055101" w:rsidP="000373C6">
      <w:pPr>
        <w:pStyle w:val="Heading2"/>
      </w:pPr>
      <w:r w:rsidRPr="00973AF7">
        <w:br w:type="page"/>
      </w:r>
      <w:r w:rsidR="00973AF7">
        <w:lastRenderedPageBreak/>
        <w:t>Supporting f</w:t>
      </w:r>
      <w:r w:rsidR="00876F4A" w:rsidRPr="00973AF7">
        <w:t>amilies and households</w:t>
      </w:r>
    </w:p>
    <w:p w14:paraId="72EC80FA" w14:textId="77777777" w:rsidR="000013FC" w:rsidRPr="00973AF7" w:rsidRDefault="000013FC" w:rsidP="000013FC">
      <w:pPr>
        <w:pStyle w:val="Heading3"/>
      </w:pPr>
      <w:r w:rsidRPr="00973AF7">
        <w:t xml:space="preserve">$200 Residential utility concession rebate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14684A52" w14:textId="77777777" w:rsidTr="00C72836">
        <w:tc>
          <w:tcPr>
            <w:tcW w:w="2510" w:type="dxa"/>
          </w:tcPr>
          <w:p w14:paraId="761CE4F6" w14:textId="77777777" w:rsidR="000013FC" w:rsidRPr="00973AF7" w:rsidRDefault="000013FC" w:rsidP="00C72836">
            <w:pPr>
              <w:pStyle w:val="Initiativefigures"/>
            </w:pPr>
          </w:p>
        </w:tc>
        <w:tc>
          <w:tcPr>
            <w:tcW w:w="1301" w:type="dxa"/>
          </w:tcPr>
          <w:p w14:paraId="4D88B22B" w14:textId="77777777" w:rsidR="000013FC" w:rsidRPr="00973AF7" w:rsidRDefault="000013FC" w:rsidP="00C72836">
            <w:pPr>
              <w:pStyle w:val="Initiativefigures"/>
            </w:pPr>
            <w:r w:rsidRPr="00973AF7">
              <w:t>2019-20</w:t>
            </w:r>
          </w:p>
          <w:p w14:paraId="1027FEC1" w14:textId="77777777" w:rsidR="000013FC" w:rsidRPr="00973AF7" w:rsidRDefault="000013FC" w:rsidP="00C72836">
            <w:pPr>
              <w:pStyle w:val="Initiativefigures"/>
            </w:pPr>
            <w:r w:rsidRPr="00973AF7">
              <w:t>$’000</w:t>
            </w:r>
          </w:p>
        </w:tc>
        <w:tc>
          <w:tcPr>
            <w:tcW w:w="1301" w:type="dxa"/>
          </w:tcPr>
          <w:p w14:paraId="6964F180" w14:textId="77777777" w:rsidR="000013FC" w:rsidRPr="00973AF7" w:rsidRDefault="000013FC" w:rsidP="00C72836">
            <w:pPr>
              <w:pStyle w:val="Initiativefigures"/>
            </w:pPr>
            <w:r w:rsidRPr="00973AF7">
              <w:t>2020-21</w:t>
            </w:r>
          </w:p>
          <w:p w14:paraId="6091AEF6" w14:textId="77777777" w:rsidR="000013FC" w:rsidRPr="00973AF7" w:rsidRDefault="000013FC" w:rsidP="00C72836">
            <w:pPr>
              <w:pStyle w:val="Initiativefigures"/>
            </w:pPr>
            <w:r w:rsidRPr="00973AF7">
              <w:t>$’000</w:t>
            </w:r>
          </w:p>
        </w:tc>
        <w:tc>
          <w:tcPr>
            <w:tcW w:w="1301" w:type="dxa"/>
          </w:tcPr>
          <w:p w14:paraId="4FF2100C" w14:textId="77777777" w:rsidR="000013FC" w:rsidRPr="00973AF7" w:rsidRDefault="000013FC" w:rsidP="00C72836">
            <w:pPr>
              <w:pStyle w:val="Initiativefigures"/>
            </w:pPr>
            <w:r w:rsidRPr="00973AF7">
              <w:t>2021-22</w:t>
            </w:r>
          </w:p>
          <w:p w14:paraId="145E7FCB" w14:textId="77777777" w:rsidR="000013FC" w:rsidRPr="00973AF7" w:rsidRDefault="000013FC" w:rsidP="00C72836">
            <w:pPr>
              <w:pStyle w:val="Initiativefigures"/>
            </w:pPr>
            <w:r w:rsidRPr="00973AF7">
              <w:t>$’000</w:t>
            </w:r>
          </w:p>
        </w:tc>
        <w:tc>
          <w:tcPr>
            <w:tcW w:w="1301" w:type="dxa"/>
          </w:tcPr>
          <w:p w14:paraId="085943A6" w14:textId="77777777" w:rsidR="000013FC" w:rsidRPr="00973AF7" w:rsidRDefault="000013FC" w:rsidP="00C72836">
            <w:pPr>
              <w:pStyle w:val="Initiativefigures"/>
            </w:pPr>
            <w:r w:rsidRPr="00973AF7">
              <w:t>2022-23</w:t>
            </w:r>
          </w:p>
          <w:p w14:paraId="6384F3EB" w14:textId="77777777" w:rsidR="000013FC" w:rsidRPr="00973AF7" w:rsidRDefault="000013FC" w:rsidP="00C72836">
            <w:pPr>
              <w:pStyle w:val="Initiativefigures"/>
            </w:pPr>
            <w:r w:rsidRPr="00973AF7">
              <w:t>$’000</w:t>
            </w:r>
          </w:p>
        </w:tc>
        <w:tc>
          <w:tcPr>
            <w:tcW w:w="1302" w:type="dxa"/>
          </w:tcPr>
          <w:p w14:paraId="7E8E7C8C" w14:textId="77777777" w:rsidR="000013FC" w:rsidRPr="00473880" w:rsidRDefault="000013FC" w:rsidP="00C72836">
            <w:pPr>
              <w:pStyle w:val="Initiativefigures"/>
              <w:rPr>
                <w:b/>
                <w:bCs/>
              </w:rPr>
            </w:pPr>
            <w:r w:rsidRPr="00473880">
              <w:rPr>
                <w:b/>
                <w:bCs/>
              </w:rPr>
              <w:t xml:space="preserve">Total </w:t>
            </w:r>
          </w:p>
          <w:p w14:paraId="3B4D0291" w14:textId="77777777" w:rsidR="000013FC" w:rsidRPr="00473880" w:rsidRDefault="000013FC" w:rsidP="00C72836">
            <w:pPr>
              <w:pStyle w:val="Initiativefigures"/>
              <w:rPr>
                <w:b/>
                <w:bCs/>
              </w:rPr>
            </w:pPr>
            <w:r w:rsidRPr="00473880">
              <w:rPr>
                <w:b/>
                <w:bCs/>
              </w:rPr>
              <w:t>$’000</w:t>
            </w:r>
          </w:p>
        </w:tc>
      </w:tr>
      <w:tr w:rsidR="000013FC" w:rsidRPr="00973AF7" w14:paraId="37EC5DE9" w14:textId="77777777" w:rsidTr="00C72836">
        <w:tc>
          <w:tcPr>
            <w:tcW w:w="2510" w:type="dxa"/>
          </w:tcPr>
          <w:p w14:paraId="7FF7F6DD" w14:textId="77777777" w:rsidR="000013FC" w:rsidRPr="00973AF7" w:rsidRDefault="000013FC" w:rsidP="00C72836">
            <w:pPr>
              <w:pStyle w:val="Initiativetext"/>
            </w:pPr>
            <w:r w:rsidRPr="00973AF7">
              <w:t>Expense</w:t>
            </w:r>
          </w:p>
        </w:tc>
        <w:tc>
          <w:tcPr>
            <w:tcW w:w="1301" w:type="dxa"/>
          </w:tcPr>
          <w:p w14:paraId="66C67CA3" w14:textId="77777777" w:rsidR="000013FC" w:rsidRPr="00973AF7" w:rsidRDefault="000013FC" w:rsidP="00C72836">
            <w:pPr>
              <w:pStyle w:val="Initiativefigures"/>
            </w:pPr>
            <w:r w:rsidRPr="00973AF7">
              <w:t>7,000</w:t>
            </w:r>
          </w:p>
        </w:tc>
        <w:tc>
          <w:tcPr>
            <w:tcW w:w="1301" w:type="dxa"/>
          </w:tcPr>
          <w:p w14:paraId="67A858E5" w14:textId="77777777" w:rsidR="000013FC" w:rsidRPr="00973AF7" w:rsidRDefault="000013FC" w:rsidP="00C72836">
            <w:pPr>
              <w:pStyle w:val="Initiativefigures"/>
            </w:pPr>
            <w:r w:rsidRPr="00973AF7">
              <w:t>0</w:t>
            </w:r>
          </w:p>
        </w:tc>
        <w:tc>
          <w:tcPr>
            <w:tcW w:w="1301" w:type="dxa"/>
          </w:tcPr>
          <w:p w14:paraId="406747AC" w14:textId="77777777" w:rsidR="000013FC" w:rsidRPr="00973AF7" w:rsidRDefault="000013FC" w:rsidP="00C72836">
            <w:pPr>
              <w:pStyle w:val="Initiativefigures"/>
            </w:pPr>
            <w:r w:rsidRPr="00973AF7">
              <w:t>0</w:t>
            </w:r>
          </w:p>
        </w:tc>
        <w:tc>
          <w:tcPr>
            <w:tcW w:w="1301" w:type="dxa"/>
          </w:tcPr>
          <w:p w14:paraId="55355C56" w14:textId="77777777" w:rsidR="000013FC" w:rsidRPr="00973AF7" w:rsidRDefault="000013FC" w:rsidP="00C72836">
            <w:pPr>
              <w:pStyle w:val="Initiativefigures"/>
            </w:pPr>
            <w:r w:rsidRPr="00973AF7">
              <w:t>0</w:t>
            </w:r>
          </w:p>
        </w:tc>
        <w:tc>
          <w:tcPr>
            <w:tcW w:w="1302" w:type="dxa"/>
          </w:tcPr>
          <w:p w14:paraId="7B243AB0" w14:textId="77777777" w:rsidR="000013FC" w:rsidRPr="00473880" w:rsidRDefault="000013FC" w:rsidP="00C72836">
            <w:pPr>
              <w:pStyle w:val="Initiativefigures"/>
              <w:rPr>
                <w:b/>
                <w:bCs/>
              </w:rPr>
            </w:pPr>
            <w:r w:rsidRPr="00473880">
              <w:rPr>
                <w:b/>
                <w:bCs/>
              </w:rPr>
              <w:t>7,000</w:t>
            </w:r>
          </w:p>
        </w:tc>
      </w:tr>
    </w:tbl>
    <w:p w14:paraId="01DB83BF" w14:textId="5529F767" w:rsidR="000013FC" w:rsidRPr="00973AF7" w:rsidRDefault="00BE0A9E" w:rsidP="000013FC">
      <w:pPr>
        <w:pStyle w:val="Bbodytext"/>
      </w:pPr>
      <w:r w:rsidRPr="00BE0A9E">
        <w:t xml:space="preserve">Around </w:t>
      </w:r>
      <w:r w:rsidR="002B05D0" w:rsidRPr="00BE0A9E">
        <w:t>3</w:t>
      </w:r>
      <w:r w:rsidRPr="00BE0A9E">
        <w:t>0</w:t>
      </w:r>
      <w:r w:rsidR="002B05D0" w:rsidRPr="00BE0A9E">
        <w:t>,000</w:t>
      </w:r>
      <w:r w:rsidR="002B05D0">
        <w:t xml:space="preserve"> h</w:t>
      </w:r>
      <w:r w:rsidR="000013FC" w:rsidRPr="00973AF7">
        <w:t xml:space="preserve">ouseholds receiving the Utilities Concession will automatically receive a </w:t>
      </w:r>
      <w:r w:rsidR="002B05D0">
        <w:t>further</w:t>
      </w:r>
      <w:r w:rsidR="000013FC" w:rsidRPr="00973AF7">
        <w:t xml:space="preserve"> $200 rebate </w:t>
      </w:r>
      <w:r w:rsidR="002B05D0">
        <w:t xml:space="preserve">(in addition to the $700 annual rebate) </w:t>
      </w:r>
      <w:r w:rsidR="000013FC" w:rsidRPr="00973AF7">
        <w:t>on their electricity bill</w:t>
      </w:r>
      <w:r w:rsidR="00473880">
        <w:t xml:space="preserve">. </w:t>
      </w:r>
      <w:r w:rsidR="000013FC" w:rsidRPr="00973AF7">
        <w:t>This includes Centrelink Pensioner Concession Card holders, Centrelink Low Income Health Care Card holders and Department of Veterans’ Affairs Pensioner Concession Card or Gold Card holders</w:t>
      </w:r>
      <w:r w:rsidR="00473880">
        <w:t xml:space="preserve">.  </w:t>
      </w:r>
    </w:p>
    <w:p w14:paraId="4890BCED" w14:textId="77777777" w:rsidR="000013FC" w:rsidRPr="00973AF7" w:rsidRDefault="000013FC" w:rsidP="000013FC">
      <w:pPr>
        <w:pStyle w:val="Heading3"/>
      </w:pPr>
      <w:r w:rsidRPr="00973AF7">
        <w:t>Assistance for sport and recreation bodies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7A9EA658" w14:textId="77777777" w:rsidTr="00C72836">
        <w:tc>
          <w:tcPr>
            <w:tcW w:w="2510" w:type="dxa"/>
            <w:tcBorders>
              <w:bottom w:val="single" w:sz="4" w:space="0" w:color="auto"/>
            </w:tcBorders>
          </w:tcPr>
          <w:p w14:paraId="73ACA656" w14:textId="77777777" w:rsidR="000013FC" w:rsidRPr="00973AF7" w:rsidRDefault="000013FC" w:rsidP="00C72836">
            <w:pPr>
              <w:pStyle w:val="Initiativefigures"/>
              <w:keepNext/>
              <w:keepLines/>
            </w:pPr>
          </w:p>
        </w:tc>
        <w:tc>
          <w:tcPr>
            <w:tcW w:w="1301" w:type="dxa"/>
            <w:tcBorders>
              <w:bottom w:val="single" w:sz="4" w:space="0" w:color="auto"/>
            </w:tcBorders>
          </w:tcPr>
          <w:p w14:paraId="41763411" w14:textId="77777777" w:rsidR="000013FC" w:rsidRPr="00973AF7" w:rsidRDefault="000013FC" w:rsidP="00C72836">
            <w:pPr>
              <w:pStyle w:val="Initiativefigures"/>
              <w:keepNext/>
              <w:keepLines/>
            </w:pPr>
            <w:r w:rsidRPr="00973AF7">
              <w:t>2019-20</w:t>
            </w:r>
          </w:p>
          <w:p w14:paraId="6EB84FB5"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2FD6C34C" w14:textId="77777777" w:rsidR="000013FC" w:rsidRPr="00973AF7" w:rsidRDefault="000013FC" w:rsidP="00C72836">
            <w:pPr>
              <w:pStyle w:val="Initiativefigures"/>
              <w:keepNext/>
              <w:keepLines/>
            </w:pPr>
            <w:r w:rsidRPr="00973AF7">
              <w:t>2020-21</w:t>
            </w:r>
          </w:p>
          <w:p w14:paraId="5D0F0DDA"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25935CD5" w14:textId="77777777" w:rsidR="000013FC" w:rsidRPr="00973AF7" w:rsidRDefault="000013FC" w:rsidP="00C72836">
            <w:pPr>
              <w:pStyle w:val="Initiativefigures"/>
              <w:keepNext/>
              <w:keepLines/>
            </w:pPr>
            <w:r w:rsidRPr="00973AF7">
              <w:t>2021-22</w:t>
            </w:r>
          </w:p>
          <w:p w14:paraId="215D1BCA"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0BFFE802" w14:textId="77777777" w:rsidR="000013FC" w:rsidRPr="00973AF7" w:rsidRDefault="000013FC" w:rsidP="00C72836">
            <w:pPr>
              <w:pStyle w:val="Initiativefigures"/>
              <w:keepNext/>
              <w:keepLines/>
            </w:pPr>
            <w:r w:rsidRPr="00973AF7">
              <w:t>2022-23</w:t>
            </w:r>
          </w:p>
          <w:p w14:paraId="73743D1C" w14:textId="77777777" w:rsidR="000013FC" w:rsidRPr="00973AF7" w:rsidRDefault="000013FC" w:rsidP="00C72836">
            <w:pPr>
              <w:pStyle w:val="Initiativefigures"/>
              <w:keepNext/>
              <w:keepLines/>
            </w:pPr>
            <w:r w:rsidRPr="00973AF7">
              <w:t>$’000</w:t>
            </w:r>
          </w:p>
        </w:tc>
        <w:tc>
          <w:tcPr>
            <w:tcW w:w="1302" w:type="dxa"/>
            <w:tcBorders>
              <w:bottom w:val="single" w:sz="4" w:space="0" w:color="auto"/>
            </w:tcBorders>
          </w:tcPr>
          <w:p w14:paraId="4D5957B4" w14:textId="77777777" w:rsidR="000013FC" w:rsidRPr="00973AF7" w:rsidRDefault="000013FC" w:rsidP="00C72836">
            <w:pPr>
              <w:pStyle w:val="Initiativefigures"/>
              <w:keepNext/>
              <w:keepLines/>
              <w:rPr>
                <w:b/>
                <w:bCs/>
              </w:rPr>
            </w:pPr>
            <w:r w:rsidRPr="00973AF7">
              <w:rPr>
                <w:b/>
                <w:bCs/>
              </w:rPr>
              <w:t xml:space="preserve">Total </w:t>
            </w:r>
          </w:p>
          <w:p w14:paraId="77866A08" w14:textId="77777777" w:rsidR="000013FC" w:rsidRPr="00973AF7" w:rsidRDefault="000013FC" w:rsidP="00C72836">
            <w:pPr>
              <w:pStyle w:val="Initiativefigures"/>
              <w:keepNext/>
              <w:keepLines/>
              <w:rPr>
                <w:b/>
                <w:bCs/>
              </w:rPr>
            </w:pPr>
            <w:r w:rsidRPr="00973AF7">
              <w:rPr>
                <w:b/>
                <w:bCs/>
              </w:rPr>
              <w:t>$’000</w:t>
            </w:r>
          </w:p>
        </w:tc>
      </w:tr>
      <w:tr w:rsidR="000013FC" w:rsidRPr="00973AF7" w14:paraId="68585E24" w14:textId="77777777" w:rsidTr="00C72836">
        <w:tc>
          <w:tcPr>
            <w:tcW w:w="2510" w:type="dxa"/>
          </w:tcPr>
          <w:p w14:paraId="33607E79" w14:textId="77777777" w:rsidR="000013FC" w:rsidRPr="00973AF7" w:rsidRDefault="000013FC" w:rsidP="00C72836">
            <w:pPr>
              <w:pStyle w:val="Initiativetext"/>
              <w:keepNext/>
              <w:keepLines/>
            </w:pPr>
            <w:r w:rsidRPr="00973AF7">
              <w:t>Expense</w:t>
            </w:r>
          </w:p>
        </w:tc>
        <w:tc>
          <w:tcPr>
            <w:tcW w:w="1301" w:type="dxa"/>
          </w:tcPr>
          <w:p w14:paraId="17E0AF37" w14:textId="77777777" w:rsidR="000013FC" w:rsidRPr="00973AF7" w:rsidRDefault="000013FC" w:rsidP="00C72836">
            <w:pPr>
              <w:pStyle w:val="Initiativefigures"/>
              <w:keepNext/>
              <w:keepLines/>
            </w:pPr>
            <w:r w:rsidRPr="00973AF7">
              <w:t>700</w:t>
            </w:r>
          </w:p>
        </w:tc>
        <w:tc>
          <w:tcPr>
            <w:tcW w:w="1301" w:type="dxa"/>
          </w:tcPr>
          <w:p w14:paraId="21AEA0DB" w14:textId="77777777" w:rsidR="000013FC" w:rsidRPr="00973AF7" w:rsidRDefault="000013FC" w:rsidP="00C72836">
            <w:pPr>
              <w:pStyle w:val="Initiativefigures"/>
              <w:keepNext/>
              <w:keepLines/>
            </w:pPr>
            <w:r w:rsidRPr="00973AF7">
              <w:t>1,500</w:t>
            </w:r>
          </w:p>
        </w:tc>
        <w:tc>
          <w:tcPr>
            <w:tcW w:w="1301" w:type="dxa"/>
          </w:tcPr>
          <w:p w14:paraId="435DBD29" w14:textId="77777777" w:rsidR="000013FC" w:rsidRPr="00973AF7" w:rsidRDefault="000013FC" w:rsidP="00C72836">
            <w:pPr>
              <w:pStyle w:val="Initiativefigures"/>
              <w:keepNext/>
              <w:keepLines/>
            </w:pPr>
            <w:r w:rsidRPr="00973AF7">
              <w:t>0</w:t>
            </w:r>
          </w:p>
        </w:tc>
        <w:tc>
          <w:tcPr>
            <w:tcW w:w="1301" w:type="dxa"/>
          </w:tcPr>
          <w:p w14:paraId="7E2EB24C" w14:textId="77777777" w:rsidR="000013FC" w:rsidRPr="00973AF7" w:rsidRDefault="000013FC" w:rsidP="00C72836">
            <w:pPr>
              <w:pStyle w:val="Initiativefigures"/>
              <w:keepNext/>
              <w:keepLines/>
            </w:pPr>
            <w:r w:rsidRPr="00973AF7">
              <w:t>0</w:t>
            </w:r>
          </w:p>
        </w:tc>
        <w:tc>
          <w:tcPr>
            <w:tcW w:w="1302" w:type="dxa"/>
          </w:tcPr>
          <w:p w14:paraId="607AF6BB" w14:textId="77777777" w:rsidR="000013FC" w:rsidRPr="00973AF7" w:rsidRDefault="000013FC" w:rsidP="00C72836">
            <w:pPr>
              <w:pStyle w:val="Initiativefigures"/>
              <w:keepNext/>
              <w:keepLines/>
              <w:rPr>
                <w:b/>
                <w:bCs/>
              </w:rPr>
            </w:pPr>
            <w:r w:rsidRPr="00973AF7">
              <w:rPr>
                <w:b/>
                <w:bCs/>
              </w:rPr>
              <w:t>2,200</w:t>
            </w:r>
          </w:p>
        </w:tc>
      </w:tr>
      <w:tr w:rsidR="000013FC" w:rsidRPr="00973AF7" w14:paraId="67B1276D" w14:textId="77777777" w:rsidTr="00C72836">
        <w:tc>
          <w:tcPr>
            <w:tcW w:w="2510" w:type="dxa"/>
          </w:tcPr>
          <w:p w14:paraId="21206EBC" w14:textId="1B59E184" w:rsidR="000013FC" w:rsidRPr="00973AF7" w:rsidRDefault="000013FC" w:rsidP="00C72836">
            <w:pPr>
              <w:pStyle w:val="Initiativetext"/>
              <w:keepNext/>
              <w:keepLines/>
            </w:pPr>
            <w:r w:rsidRPr="00973AF7">
              <w:t>Offset – expense</w:t>
            </w:r>
          </w:p>
        </w:tc>
        <w:tc>
          <w:tcPr>
            <w:tcW w:w="1301" w:type="dxa"/>
          </w:tcPr>
          <w:p w14:paraId="7444EC19" w14:textId="77777777" w:rsidR="000013FC" w:rsidRPr="00973AF7" w:rsidDel="00FE382F" w:rsidRDefault="000013FC" w:rsidP="00C72836">
            <w:pPr>
              <w:pStyle w:val="Initiativefigures"/>
              <w:keepNext/>
              <w:keepLines/>
            </w:pPr>
            <w:r w:rsidRPr="00973AF7">
              <w:t>-700</w:t>
            </w:r>
          </w:p>
        </w:tc>
        <w:tc>
          <w:tcPr>
            <w:tcW w:w="1301" w:type="dxa"/>
          </w:tcPr>
          <w:p w14:paraId="13227811" w14:textId="77777777" w:rsidR="000013FC" w:rsidRPr="00973AF7" w:rsidRDefault="000013FC" w:rsidP="00C72836">
            <w:pPr>
              <w:pStyle w:val="Initiativefigures"/>
              <w:keepNext/>
              <w:keepLines/>
            </w:pPr>
            <w:r w:rsidRPr="00973AF7">
              <w:t>-1,500</w:t>
            </w:r>
          </w:p>
        </w:tc>
        <w:tc>
          <w:tcPr>
            <w:tcW w:w="1301" w:type="dxa"/>
          </w:tcPr>
          <w:p w14:paraId="2C64D6C1" w14:textId="77777777" w:rsidR="000013FC" w:rsidRPr="00973AF7" w:rsidRDefault="000013FC" w:rsidP="00C72836">
            <w:pPr>
              <w:pStyle w:val="Initiativefigures"/>
              <w:keepNext/>
              <w:keepLines/>
            </w:pPr>
            <w:r w:rsidRPr="00973AF7">
              <w:t>0</w:t>
            </w:r>
          </w:p>
        </w:tc>
        <w:tc>
          <w:tcPr>
            <w:tcW w:w="1301" w:type="dxa"/>
          </w:tcPr>
          <w:p w14:paraId="338F74E5" w14:textId="77777777" w:rsidR="000013FC" w:rsidRPr="00973AF7" w:rsidRDefault="000013FC" w:rsidP="00C72836">
            <w:pPr>
              <w:pStyle w:val="Initiativefigures"/>
              <w:keepNext/>
              <w:keepLines/>
            </w:pPr>
            <w:r w:rsidRPr="00973AF7">
              <w:t>0</w:t>
            </w:r>
          </w:p>
        </w:tc>
        <w:tc>
          <w:tcPr>
            <w:tcW w:w="1302" w:type="dxa"/>
          </w:tcPr>
          <w:p w14:paraId="2184334F" w14:textId="77777777" w:rsidR="000013FC" w:rsidRPr="00973AF7" w:rsidDel="00FE382F" w:rsidRDefault="000013FC" w:rsidP="00C72836">
            <w:pPr>
              <w:pStyle w:val="Initiativefigures"/>
              <w:keepNext/>
              <w:keepLines/>
              <w:rPr>
                <w:b/>
                <w:bCs/>
              </w:rPr>
            </w:pPr>
            <w:r w:rsidRPr="00973AF7">
              <w:rPr>
                <w:b/>
                <w:bCs/>
              </w:rPr>
              <w:t>-2,200</w:t>
            </w:r>
          </w:p>
        </w:tc>
      </w:tr>
      <w:tr w:rsidR="000013FC" w:rsidRPr="00973AF7" w14:paraId="60731768" w14:textId="77777777" w:rsidTr="00C72836">
        <w:tc>
          <w:tcPr>
            <w:tcW w:w="2510" w:type="dxa"/>
          </w:tcPr>
          <w:p w14:paraId="1242769D" w14:textId="77777777" w:rsidR="000013FC" w:rsidRPr="00973AF7" w:rsidRDefault="000013FC" w:rsidP="00C72836">
            <w:pPr>
              <w:pStyle w:val="Initiativetext"/>
              <w:keepNext/>
              <w:keepLines/>
            </w:pPr>
            <w:r w:rsidRPr="00973AF7">
              <w:t>Revenue forgone</w:t>
            </w:r>
          </w:p>
        </w:tc>
        <w:tc>
          <w:tcPr>
            <w:tcW w:w="1301" w:type="dxa"/>
          </w:tcPr>
          <w:p w14:paraId="1ACD1BBC" w14:textId="77777777" w:rsidR="000013FC" w:rsidRPr="00973AF7" w:rsidDel="00FE382F" w:rsidRDefault="000013FC" w:rsidP="00C72836">
            <w:pPr>
              <w:pStyle w:val="Initiativefigures"/>
              <w:keepNext/>
              <w:keepLines/>
            </w:pPr>
            <w:r w:rsidRPr="00973AF7">
              <w:t>100</w:t>
            </w:r>
          </w:p>
        </w:tc>
        <w:tc>
          <w:tcPr>
            <w:tcW w:w="1301" w:type="dxa"/>
          </w:tcPr>
          <w:p w14:paraId="49ADC5B3" w14:textId="77777777" w:rsidR="000013FC" w:rsidRPr="00973AF7" w:rsidRDefault="000013FC" w:rsidP="00C72836">
            <w:pPr>
              <w:pStyle w:val="Initiativefigures"/>
              <w:keepNext/>
              <w:keepLines/>
            </w:pPr>
            <w:r w:rsidRPr="00973AF7">
              <w:t>1,000</w:t>
            </w:r>
          </w:p>
        </w:tc>
        <w:tc>
          <w:tcPr>
            <w:tcW w:w="1301" w:type="dxa"/>
          </w:tcPr>
          <w:p w14:paraId="2A864C08" w14:textId="1E2C441C" w:rsidR="000013FC" w:rsidRPr="00973AF7" w:rsidRDefault="005D5950" w:rsidP="00C72836">
            <w:pPr>
              <w:pStyle w:val="Initiativefigures"/>
              <w:keepNext/>
              <w:keepLines/>
            </w:pPr>
            <w:r>
              <w:t>0</w:t>
            </w:r>
          </w:p>
        </w:tc>
        <w:tc>
          <w:tcPr>
            <w:tcW w:w="1301" w:type="dxa"/>
          </w:tcPr>
          <w:p w14:paraId="7D1F86E0" w14:textId="233DA0EB" w:rsidR="000013FC" w:rsidRPr="00973AF7" w:rsidRDefault="005D5950" w:rsidP="00C72836">
            <w:pPr>
              <w:pStyle w:val="Initiativefigures"/>
              <w:keepNext/>
              <w:keepLines/>
            </w:pPr>
            <w:r>
              <w:t>0</w:t>
            </w:r>
          </w:p>
        </w:tc>
        <w:tc>
          <w:tcPr>
            <w:tcW w:w="1302" w:type="dxa"/>
          </w:tcPr>
          <w:p w14:paraId="3D863384" w14:textId="77777777" w:rsidR="000013FC" w:rsidRPr="00973AF7" w:rsidDel="00FE382F" w:rsidRDefault="000013FC" w:rsidP="00C72836">
            <w:pPr>
              <w:pStyle w:val="Initiativefigures"/>
              <w:keepNext/>
              <w:keepLines/>
              <w:rPr>
                <w:b/>
                <w:bCs/>
              </w:rPr>
            </w:pPr>
            <w:r w:rsidRPr="00973AF7">
              <w:rPr>
                <w:b/>
                <w:bCs/>
              </w:rPr>
              <w:t>1,100</w:t>
            </w:r>
          </w:p>
        </w:tc>
      </w:tr>
    </w:tbl>
    <w:p w14:paraId="3A55E36C" w14:textId="1D224D71" w:rsidR="000013FC" w:rsidRPr="00973AF7" w:rsidRDefault="000013FC" w:rsidP="000013FC">
      <w:pPr>
        <w:pStyle w:val="Bbodytext"/>
      </w:pPr>
      <w:r w:rsidRPr="00973AF7">
        <w:t xml:space="preserve">The Government </w:t>
      </w:r>
      <w:r w:rsidR="00E24A83">
        <w:t>is providing</w:t>
      </w:r>
      <w:r w:rsidRPr="00973AF7">
        <w:t xml:space="preserve"> funding and relief equivalent to $3</w:t>
      </w:r>
      <w:r w:rsidR="00473880">
        <w:t>.</w:t>
      </w:r>
      <w:r w:rsidRPr="00973AF7">
        <w:t>3 million for Canberra’s sports sector to address challenges associated with COVID-19</w:t>
      </w:r>
      <w:r w:rsidR="00473880">
        <w:t xml:space="preserve">. </w:t>
      </w:r>
      <w:r w:rsidRPr="00973AF7">
        <w:t>This funding incorporates an immediate financial injection of $700,000 across ACT peak sport and recreation bodies, as well as enabling early access to approximately $1</w:t>
      </w:r>
      <w:r w:rsidR="00473880">
        <w:t>.</w:t>
      </w:r>
      <w:r w:rsidRPr="00973AF7">
        <w:t>5 million through the 2021 Sport and Recreation Grants Program</w:t>
      </w:r>
      <w:r w:rsidR="00473880">
        <w:t xml:space="preserve">.  </w:t>
      </w:r>
    </w:p>
    <w:p w14:paraId="0C027CA1" w14:textId="5F47F482" w:rsidR="000013FC" w:rsidRPr="00973AF7" w:rsidRDefault="000013FC" w:rsidP="000013FC">
      <w:pPr>
        <w:pStyle w:val="Bbodytext"/>
      </w:pPr>
      <w:r w:rsidRPr="00973AF7">
        <w:t>The Government will also waive sportsground hire fees, along with waivers for rent for use of government properties and schools</w:t>
      </w:r>
      <w:r w:rsidR="00473880">
        <w:t xml:space="preserve">. </w:t>
      </w:r>
    </w:p>
    <w:p w14:paraId="35ABBD69" w14:textId="43A0A7DF" w:rsidR="000013FC" w:rsidRPr="00973AF7" w:rsidRDefault="000013FC" w:rsidP="000013FC">
      <w:pPr>
        <w:pStyle w:val="Heading3"/>
      </w:pPr>
      <w:r w:rsidRPr="00973AF7">
        <w:t xml:space="preserve">Fee and charge reduction </w:t>
      </w:r>
      <w:r w:rsidR="003140C0" w:rsidRPr="00973AF7">
        <w:t xml:space="preserve">– </w:t>
      </w:r>
      <w:r w:rsidR="003140C0">
        <w:t>o</w:t>
      </w:r>
      <w:r w:rsidR="003140C0" w:rsidRPr="00973AF7">
        <w:t xml:space="preserve">ne-year </w:t>
      </w:r>
      <w:r w:rsidRPr="00973AF7">
        <w:t>freeze on growth of Fire and Emergency Services Levy</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2D5D2417" w14:textId="77777777" w:rsidTr="00C72836">
        <w:tc>
          <w:tcPr>
            <w:tcW w:w="2510" w:type="dxa"/>
          </w:tcPr>
          <w:p w14:paraId="188E3432" w14:textId="77777777" w:rsidR="000013FC" w:rsidRPr="00973AF7" w:rsidRDefault="000013FC" w:rsidP="00C72836">
            <w:pPr>
              <w:pStyle w:val="Initiativefigures"/>
            </w:pPr>
          </w:p>
        </w:tc>
        <w:tc>
          <w:tcPr>
            <w:tcW w:w="1301" w:type="dxa"/>
          </w:tcPr>
          <w:p w14:paraId="22752DD8" w14:textId="77777777" w:rsidR="000013FC" w:rsidRPr="00973AF7" w:rsidRDefault="000013FC" w:rsidP="00C72836">
            <w:pPr>
              <w:pStyle w:val="Initiativefigures"/>
            </w:pPr>
            <w:r w:rsidRPr="00973AF7">
              <w:t>2019-20</w:t>
            </w:r>
          </w:p>
          <w:p w14:paraId="046C7C7B" w14:textId="77777777" w:rsidR="000013FC" w:rsidRPr="00973AF7" w:rsidRDefault="000013FC" w:rsidP="00C72836">
            <w:pPr>
              <w:pStyle w:val="Initiativefigures"/>
            </w:pPr>
            <w:r w:rsidRPr="00973AF7">
              <w:t>$’000</w:t>
            </w:r>
          </w:p>
        </w:tc>
        <w:tc>
          <w:tcPr>
            <w:tcW w:w="1301" w:type="dxa"/>
          </w:tcPr>
          <w:p w14:paraId="50F03953" w14:textId="77777777" w:rsidR="000013FC" w:rsidRPr="00973AF7" w:rsidRDefault="000013FC" w:rsidP="00C72836">
            <w:pPr>
              <w:pStyle w:val="Initiativefigures"/>
            </w:pPr>
            <w:r w:rsidRPr="00973AF7">
              <w:t>2020-21</w:t>
            </w:r>
          </w:p>
          <w:p w14:paraId="2AD3F94C" w14:textId="77777777" w:rsidR="000013FC" w:rsidRPr="00973AF7" w:rsidRDefault="000013FC" w:rsidP="00C72836">
            <w:pPr>
              <w:pStyle w:val="Initiativefigures"/>
            </w:pPr>
            <w:r w:rsidRPr="00973AF7">
              <w:t>$’000</w:t>
            </w:r>
          </w:p>
        </w:tc>
        <w:tc>
          <w:tcPr>
            <w:tcW w:w="1301" w:type="dxa"/>
          </w:tcPr>
          <w:p w14:paraId="210FB1C7" w14:textId="77777777" w:rsidR="000013FC" w:rsidRPr="00973AF7" w:rsidRDefault="000013FC" w:rsidP="00C72836">
            <w:pPr>
              <w:pStyle w:val="Initiativefigures"/>
            </w:pPr>
            <w:r w:rsidRPr="00973AF7">
              <w:t>2021-22</w:t>
            </w:r>
          </w:p>
          <w:p w14:paraId="7223D89C" w14:textId="77777777" w:rsidR="000013FC" w:rsidRPr="00973AF7" w:rsidRDefault="000013FC" w:rsidP="00C72836">
            <w:pPr>
              <w:pStyle w:val="Initiativefigures"/>
            </w:pPr>
            <w:r w:rsidRPr="00973AF7">
              <w:t>$’000</w:t>
            </w:r>
          </w:p>
        </w:tc>
        <w:tc>
          <w:tcPr>
            <w:tcW w:w="1301" w:type="dxa"/>
          </w:tcPr>
          <w:p w14:paraId="6439D726" w14:textId="77777777" w:rsidR="000013FC" w:rsidRPr="00973AF7" w:rsidRDefault="000013FC" w:rsidP="00C72836">
            <w:pPr>
              <w:pStyle w:val="Initiativefigures"/>
            </w:pPr>
            <w:r w:rsidRPr="00973AF7">
              <w:t>2022-23</w:t>
            </w:r>
          </w:p>
          <w:p w14:paraId="19FFBE06" w14:textId="77777777" w:rsidR="000013FC" w:rsidRPr="00973AF7" w:rsidRDefault="000013FC" w:rsidP="00C72836">
            <w:pPr>
              <w:pStyle w:val="Initiativefigures"/>
            </w:pPr>
            <w:r w:rsidRPr="00973AF7">
              <w:t>$’000</w:t>
            </w:r>
          </w:p>
        </w:tc>
        <w:tc>
          <w:tcPr>
            <w:tcW w:w="1302" w:type="dxa"/>
          </w:tcPr>
          <w:p w14:paraId="0329B145" w14:textId="77777777" w:rsidR="000013FC" w:rsidRPr="00973AF7" w:rsidRDefault="000013FC" w:rsidP="00C72836">
            <w:pPr>
              <w:pStyle w:val="Initiativefigures"/>
              <w:rPr>
                <w:b/>
                <w:bCs/>
              </w:rPr>
            </w:pPr>
            <w:r w:rsidRPr="00973AF7">
              <w:rPr>
                <w:b/>
                <w:bCs/>
              </w:rPr>
              <w:t xml:space="preserve">Total </w:t>
            </w:r>
          </w:p>
          <w:p w14:paraId="7182434F" w14:textId="77777777" w:rsidR="000013FC" w:rsidRPr="00973AF7" w:rsidRDefault="000013FC" w:rsidP="00C72836">
            <w:pPr>
              <w:pStyle w:val="Initiativefigures"/>
              <w:rPr>
                <w:b/>
                <w:bCs/>
              </w:rPr>
            </w:pPr>
            <w:r w:rsidRPr="00973AF7">
              <w:rPr>
                <w:b/>
                <w:bCs/>
              </w:rPr>
              <w:t>$’000</w:t>
            </w:r>
          </w:p>
        </w:tc>
      </w:tr>
      <w:tr w:rsidR="000013FC" w:rsidRPr="00973AF7" w14:paraId="7230ED00" w14:textId="77777777" w:rsidTr="00C72836">
        <w:tc>
          <w:tcPr>
            <w:tcW w:w="2510" w:type="dxa"/>
          </w:tcPr>
          <w:p w14:paraId="693E509B" w14:textId="77777777" w:rsidR="000013FC" w:rsidRPr="00973AF7" w:rsidRDefault="000013FC" w:rsidP="00C72836">
            <w:pPr>
              <w:pStyle w:val="Initiativetext"/>
            </w:pPr>
            <w:r w:rsidRPr="00973AF7">
              <w:t>Revenue forgone</w:t>
            </w:r>
          </w:p>
        </w:tc>
        <w:tc>
          <w:tcPr>
            <w:tcW w:w="1301" w:type="dxa"/>
          </w:tcPr>
          <w:p w14:paraId="16A74ABD" w14:textId="77777777" w:rsidR="000013FC" w:rsidRPr="00973AF7" w:rsidRDefault="000013FC" w:rsidP="00C72836">
            <w:pPr>
              <w:pStyle w:val="Initiativefigures"/>
            </w:pPr>
            <w:r w:rsidRPr="00973AF7">
              <w:t>0</w:t>
            </w:r>
          </w:p>
        </w:tc>
        <w:tc>
          <w:tcPr>
            <w:tcW w:w="1301" w:type="dxa"/>
          </w:tcPr>
          <w:p w14:paraId="2AEAF4E0" w14:textId="77777777" w:rsidR="000013FC" w:rsidRPr="00973AF7" w:rsidRDefault="000013FC" w:rsidP="00C72836">
            <w:pPr>
              <w:pStyle w:val="Initiativefigures"/>
            </w:pPr>
            <w:r w:rsidRPr="00973AF7">
              <w:t>2,194</w:t>
            </w:r>
          </w:p>
        </w:tc>
        <w:tc>
          <w:tcPr>
            <w:tcW w:w="1301" w:type="dxa"/>
          </w:tcPr>
          <w:p w14:paraId="12C10268" w14:textId="77777777" w:rsidR="000013FC" w:rsidRPr="00973AF7" w:rsidRDefault="000013FC" w:rsidP="00C72836">
            <w:pPr>
              <w:pStyle w:val="Initiativefigures"/>
            </w:pPr>
            <w:r w:rsidRPr="00973AF7">
              <w:t>2,255</w:t>
            </w:r>
          </w:p>
        </w:tc>
        <w:tc>
          <w:tcPr>
            <w:tcW w:w="1301" w:type="dxa"/>
          </w:tcPr>
          <w:p w14:paraId="1185F8C5" w14:textId="77777777" w:rsidR="000013FC" w:rsidRPr="00973AF7" w:rsidRDefault="000013FC" w:rsidP="00C72836">
            <w:pPr>
              <w:pStyle w:val="Initiativefigures"/>
            </w:pPr>
            <w:r w:rsidRPr="00973AF7">
              <w:t>2,322</w:t>
            </w:r>
          </w:p>
        </w:tc>
        <w:tc>
          <w:tcPr>
            <w:tcW w:w="1302" w:type="dxa"/>
          </w:tcPr>
          <w:p w14:paraId="5BA55EC1" w14:textId="77777777" w:rsidR="000013FC" w:rsidRPr="00973AF7" w:rsidRDefault="000013FC" w:rsidP="00C72836">
            <w:pPr>
              <w:pStyle w:val="Initiativefigures"/>
              <w:rPr>
                <w:b/>
                <w:bCs/>
              </w:rPr>
            </w:pPr>
            <w:r w:rsidRPr="00973AF7">
              <w:rPr>
                <w:b/>
                <w:bCs/>
              </w:rPr>
              <w:t>6,771</w:t>
            </w:r>
          </w:p>
        </w:tc>
      </w:tr>
    </w:tbl>
    <w:p w14:paraId="5A00FF80" w14:textId="592FD194" w:rsidR="000013FC" w:rsidRPr="00973AF7" w:rsidRDefault="000013FC" w:rsidP="000013FC">
      <w:pPr>
        <w:pStyle w:val="Bbodytext"/>
      </w:pPr>
      <w:r w:rsidRPr="00973AF7">
        <w:t>The Government will freeze the Fire and Emergency Services Levy at its current 2019-20 level for the 2020-21 financial year</w:t>
      </w:r>
      <w:r w:rsidR="00473880">
        <w:t xml:space="preserve">. </w:t>
      </w:r>
      <w:r w:rsidRPr="00973AF7">
        <w:t xml:space="preserve">This will apply to </w:t>
      </w:r>
      <w:r w:rsidR="002B05D0">
        <w:t xml:space="preserve">all </w:t>
      </w:r>
      <w:r w:rsidRPr="00973AF7">
        <w:t xml:space="preserve">commercial </w:t>
      </w:r>
      <w:r w:rsidR="00A72A37">
        <w:t xml:space="preserve">and </w:t>
      </w:r>
      <w:r w:rsidRPr="00973AF7">
        <w:t xml:space="preserve">residential </w:t>
      </w:r>
      <w:r w:rsidR="00A72A37">
        <w:t>properties</w:t>
      </w:r>
      <w:r w:rsidR="00473880">
        <w:t xml:space="preserve">.  </w:t>
      </w:r>
    </w:p>
    <w:p w14:paraId="6B017DDE" w14:textId="251B0009" w:rsidR="000013FC" w:rsidRPr="00973AF7" w:rsidRDefault="000013FC" w:rsidP="000013FC">
      <w:pPr>
        <w:pStyle w:val="Heading3"/>
      </w:pPr>
      <w:r w:rsidRPr="00973AF7">
        <w:lastRenderedPageBreak/>
        <w:t xml:space="preserve">Fee and charge reduction </w:t>
      </w:r>
      <w:r w:rsidR="003140C0" w:rsidRPr="00973AF7">
        <w:t xml:space="preserve">– </w:t>
      </w:r>
      <w:r w:rsidR="003140C0">
        <w:t>o</w:t>
      </w:r>
      <w:r w:rsidR="003140C0" w:rsidRPr="00973AF7">
        <w:t xml:space="preserve">ne-year </w:t>
      </w:r>
      <w:r w:rsidRPr="00973AF7">
        <w:t xml:space="preserve">freeze on parking and public transport fees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6B880310" w14:textId="77777777" w:rsidTr="00C72836">
        <w:tc>
          <w:tcPr>
            <w:tcW w:w="2510" w:type="dxa"/>
          </w:tcPr>
          <w:p w14:paraId="33468FCE" w14:textId="77777777" w:rsidR="000013FC" w:rsidRPr="00973AF7" w:rsidRDefault="000013FC" w:rsidP="000013FC">
            <w:pPr>
              <w:pStyle w:val="Initiativefigures"/>
              <w:keepNext/>
              <w:keepLines/>
            </w:pPr>
          </w:p>
        </w:tc>
        <w:tc>
          <w:tcPr>
            <w:tcW w:w="1301" w:type="dxa"/>
          </w:tcPr>
          <w:p w14:paraId="3507A9E1" w14:textId="77777777" w:rsidR="000013FC" w:rsidRPr="00973AF7" w:rsidRDefault="000013FC" w:rsidP="000013FC">
            <w:pPr>
              <w:pStyle w:val="Initiativefigures"/>
              <w:keepNext/>
              <w:keepLines/>
            </w:pPr>
            <w:r w:rsidRPr="00973AF7">
              <w:t>2019-20</w:t>
            </w:r>
          </w:p>
          <w:p w14:paraId="020CE0A1" w14:textId="77777777" w:rsidR="000013FC" w:rsidRPr="00973AF7" w:rsidRDefault="000013FC" w:rsidP="000013FC">
            <w:pPr>
              <w:pStyle w:val="Initiativefigures"/>
              <w:keepNext/>
              <w:keepLines/>
            </w:pPr>
            <w:r w:rsidRPr="00973AF7">
              <w:t>$’000</w:t>
            </w:r>
          </w:p>
        </w:tc>
        <w:tc>
          <w:tcPr>
            <w:tcW w:w="1301" w:type="dxa"/>
          </w:tcPr>
          <w:p w14:paraId="43122355" w14:textId="77777777" w:rsidR="000013FC" w:rsidRPr="00973AF7" w:rsidRDefault="000013FC" w:rsidP="000013FC">
            <w:pPr>
              <w:pStyle w:val="Initiativefigures"/>
              <w:keepNext/>
              <w:keepLines/>
            </w:pPr>
            <w:r w:rsidRPr="00973AF7">
              <w:t>2020-21</w:t>
            </w:r>
          </w:p>
          <w:p w14:paraId="29E2391E" w14:textId="77777777" w:rsidR="000013FC" w:rsidRPr="00973AF7" w:rsidRDefault="000013FC" w:rsidP="000013FC">
            <w:pPr>
              <w:pStyle w:val="Initiativefigures"/>
              <w:keepNext/>
              <w:keepLines/>
            </w:pPr>
            <w:r w:rsidRPr="00973AF7">
              <w:t>$’000</w:t>
            </w:r>
          </w:p>
        </w:tc>
        <w:tc>
          <w:tcPr>
            <w:tcW w:w="1301" w:type="dxa"/>
          </w:tcPr>
          <w:p w14:paraId="66B5F815" w14:textId="77777777" w:rsidR="000013FC" w:rsidRPr="00973AF7" w:rsidRDefault="000013FC" w:rsidP="000013FC">
            <w:pPr>
              <w:pStyle w:val="Initiativefigures"/>
              <w:keepNext/>
              <w:keepLines/>
            </w:pPr>
            <w:r w:rsidRPr="00973AF7">
              <w:t>2021-22</w:t>
            </w:r>
          </w:p>
          <w:p w14:paraId="6DFB22B4" w14:textId="77777777" w:rsidR="000013FC" w:rsidRPr="00973AF7" w:rsidRDefault="000013FC" w:rsidP="000013FC">
            <w:pPr>
              <w:pStyle w:val="Initiativefigures"/>
              <w:keepNext/>
              <w:keepLines/>
            </w:pPr>
            <w:r w:rsidRPr="00973AF7">
              <w:t>$’000</w:t>
            </w:r>
          </w:p>
        </w:tc>
        <w:tc>
          <w:tcPr>
            <w:tcW w:w="1301" w:type="dxa"/>
          </w:tcPr>
          <w:p w14:paraId="566F54DE" w14:textId="77777777" w:rsidR="000013FC" w:rsidRPr="00973AF7" w:rsidRDefault="000013FC" w:rsidP="000013FC">
            <w:pPr>
              <w:pStyle w:val="Initiativefigures"/>
              <w:keepNext/>
              <w:keepLines/>
            </w:pPr>
            <w:r w:rsidRPr="00973AF7">
              <w:t>2022-23</w:t>
            </w:r>
          </w:p>
          <w:p w14:paraId="08179DB2" w14:textId="77777777" w:rsidR="000013FC" w:rsidRPr="00973AF7" w:rsidRDefault="000013FC" w:rsidP="000013FC">
            <w:pPr>
              <w:pStyle w:val="Initiativefigures"/>
              <w:keepNext/>
              <w:keepLines/>
            </w:pPr>
            <w:r w:rsidRPr="00973AF7">
              <w:t>$’000</w:t>
            </w:r>
          </w:p>
        </w:tc>
        <w:tc>
          <w:tcPr>
            <w:tcW w:w="1302" w:type="dxa"/>
          </w:tcPr>
          <w:p w14:paraId="0D096F5D" w14:textId="77777777" w:rsidR="000013FC" w:rsidRPr="00973AF7" w:rsidRDefault="000013FC" w:rsidP="000013FC">
            <w:pPr>
              <w:pStyle w:val="Initiativefigures"/>
              <w:keepNext/>
              <w:keepLines/>
              <w:rPr>
                <w:b/>
                <w:bCs/>
              </w:rPr>
            </w:pPr>
            <w:r w:rsidRPr="00973AF7">
              <w:rPr>
                <w:b/>
                <w:bCs/>
              </w:rPr>
              <w:t xml:space="preserve">Total </w:t>
            </w:r>
          </w:p>
          <w:p w14:paraId="3E01F104" w14:textId="77777777" w:rsidR="000013FC" w:rsidRPr="00973AF7" w:rsidRDefault="000013FC" w:rsidP="000013FC">
            <w:pPr>
              <w:pStyle w:val="Initiativefigures"/>
              <w:keepNext/>
              <w:keepLines/>
              <w:rPr>
                <w:b/>
                <w:bCs/>
              </w:rPr>
            </w:pPr>
            <w:r w:rsidRPr="00973AF7">
              <w:rPr>
                <w:b/>
                <w:bCs/>
              </w:rPr>
              <w:t>$’000</w:t>
            </w:r>
          </w:p>
        </w:tc>
      </w:tr>
      <w:tr w:rsidR="000013FC" w:rsidRPr="00973AF7" w14:paraId="5CA00383" w14:textId="77777777" w:rsidTr="00C72836">
        <w:tc>
          <w:tcPr>
            <w:tcW w:w="2510" w:type="dxa"/>
          </w:tcPr>
          <w:p w14:paraId="5BEA6A22" w14:textId="77777777" w:rsidR="000013FC" w:rsidRPr="00973AF7" w:rsidRDefault="000013FC" w:rsidP="000013FC">
            <w:pPr>
              <w:pStyle w:val="Initiativetext"/>
              <w:keepNext/>
              <w:keepLines/>
            </w:pPr>
            <w:r w:rsidRPr="00973AF7">
              <w:t>Revenue forgone</w:t>
            </w:r>
          </w:p>
        </w:tc>
        <w:tc>
          <w:tcPr>
            <w:tcW w:w="1301" w:type="dxa"/>
          </w:tcPr>
          <w:p w14:paraId="4AF674CA" w14:textId="77777777" w:rsidR="000013FC" w:rsidRPr="00973AF7" w:rsidRDefault="000013FC" w:rsidP="000013FC">
            <w:pPr>
              <w:pStyle w:val="Initiativefigures"/>
              <w:keepNext/>
              <w:keepLines/>
            </w:pPr>
            <w:r w:rsidRPr="00973AF7">
              <w:t>0</w:t>
            </w:r>
          </w:p>
        </w:tc>
        <w:tc>
          <w:tcPr>
            <w:tcW w:w="1301" w:type="dxa"/>
          </w:tcPr>
          <w:p w14:paraId="6BEB4C70" w14:textId="77777777" w:rsidR="000013FC" w:rsidRPr="00973AF7" w:rsidRDefault="000013FC" w:rsidP="000013FC">
            <w:pPr>
              <w:pStyle w:val="Initiativefigures"/>
              <w:keepNext/>
              <w:keepLines/>
            </w:pPr>
            <w:r w:rsidRPr="00973AF7">
              <w:t>1,200</w:t>
            </w:r>
          </w:p>
        </w:tc>
        <w:tc>
          <w:tcPr>
            <w:tcW w:w="1301" w:type="dxa"/>
          </w:tcPr>
          <w:p w14:paraId="3CE04379" w14:textId="77777777" w:rsidR="000013FC" w:rsidRPr="00973AF7" w:rsidRDefault="000013FC" w:rsidP="000013FC">
            <w:pPr>
              <w:pStyle w:val="Initiativefigures"/>
              <w:keepNext/>
              <w:keepLines/>
            </w:pPr>
            <w:r w:rsidRPr="00973AF7">
              <w:t>1,300</w:t>
            </w:r>
          </w:p>
        </w:tc>
        <w:tc>
          <w:tcPr>
            <w:tcW w:w="1301" w:type="dxa"/>
          </w:tcPr>
          <w:p w14:paraId="02894A42" w14:textId="77777777" w:rsidR="000013FC" w:rsidRPr="00973AF7" w:rsidRDefault="000013FC" w:rsidP="000013FC">
            <w:pPr>
              <w:pStyle w:val="Initiativefigures"/>
              <w:keepNext/>
              <w:keepLines/>
            </w:pPr>
            <w:r w:rsidRPr="00973AF7">
              <w:t>1,400</w:t>
            </w:r>
          </w:p>
        </w:tc>
        <w:tc>
          <w:tcPr>
            <w:tcW w:w="1302" w:type="dxa"/>
          </w:tcPr>
          <w:p w14:paraId="67F27C86" w14:textId="77777777" w:rsidR="000013FC" w:rsidRPr="00973AF7" w:rsidRDefault="000013FC" w:rsidP="000013FC">
            <w:pPr>
              <w:pStyle w:val="Initiativefigures"/>
              <w:keepNext/>
              <w:keepLines/>
              <w:rPr>
                <w:b/>
                <w:bCs/>
              </w:rPr>
            </w:pPr>
            <w:r w:rsidRPr="00973AF7">
              <w:rPr>
                <w:b/>
                <w:bCs/>
              </w:rPr>
              <w:t>3,900</w:t>
            </w:r>
          </w:p>
        </w:tc>
      </w:tr>
    </w:tbl>
    <w:p w14:paraId="01B3997A" w14:textId="42339544" w:rsidR="000013FC" w:rsidRPr="00973AF7" w:rsidRDefault="000013FC" w:rsidP="000013FC">
      <w:pPr>
        <w:pStyle w:val="Bbodytext"/>
        <w:keepNext/>
        <w:keepLines/>
      </w:pPr>
      <w:r w:rsidRPr="00973AF7">
        <w:t>The Government will freeze parking and public transport fees at their current level for 2020</w:t>
      </w:r>
      <w:r w:rsidRPr="00973AF7">
        <w:noBreakHyphen/>
        <w:t>21</w:t>
      </w:r>
      <w:r w:rsidR="00473880">
        <w:t xml:space="preserve">.  </w:t>
      </w:r>
    </w:p>
    <w:p w14:paraId="2E5FF84A" w14:textId="18A31184" w:rsidR="000013FC" w:rsidRPr="00973AF7" w:rsidRDefault="000013FC" w:rsidP="000013FC">
      <w:pPr>
        <w:pStyle w:val="Heading3"/>
      </w:pPr>
      <w:r w:rsidRPr="00973AF7">
        <w:t xml:space="preserve">Fee and charge reduction </w:t>
      </w:r>
      <w:r w:rsidR="003140C0" w:rsidRPr="00973AF7">
        <w:t xml:space="preserve">– </w:t>
      </w:r>
      <w:r w:rsidR="003140C0">
        <w:t>o</w:t>
      </w:r>
      <w:r w:rsidR="003140C0" w:rsidRPr="00973AF7">
        <w:t xml:space="preserve">ne-year </w:t>
      </w:r>
      <w:r w:rsidRPr="00973AF7">
        <w:t>freeze on vehicle registration fees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77CF2246" w14:textId="77777777" w:rsidTr="00C72836">
        <w:tc>
          <w:tcPr>
            <w:tcW w:w="2510" w:type="dxa"/>
          </w:tcPr>
          <w:p w14:paraId="32C4FCF6" w14:textId="77777777" w:rsidR="000013FC" w:rsidRPr="00973AF7" w:rsidRDefault="000013FC" w:rsidP="00C72836">
            <w:pPr>
              <w:pStyle w:val="Initiativefigures"/>
            </w:pPr>
          </w:p>
        </w:tc>
        <w:tc>
          <w:tcPr>
            <w:tcW w:w="1301" w:type="dxa"/>
          </w:tcPr>
          <w:p w14:paraId="4A29272F" w14:textId="77777777" w:rsidR="000013FC" w:rsidRPr="00973AF7" w:rsidRDefault="000013FC" w:rsidP="00C72836">
            <w:pPr>
              <w:pStyle w:val="Initiativefigures"/>
            </w:pPr>
            <w:r w:rsidRPr="00973AF7">
              <w:t>2019-20</w:t>
            </w:r>
          </w:p>
          <w:p w14:paraId="27D10A4C" w14:textId="77777777" w:rsidR="000013FC" w:rsidRPr="00973AF7" w:rsidRDefault="000013FC" w:rsidP="00C72836">
            <w:pPr>
              <w:pStyle w:val="Initiativefigures"/>
            </w:pPr>
            <w:r w:rsidRPr="00973AF7">
              <w:t>$’000</w:t>
            </w:r>
          </w:p>
        </w:tc>
        <w:tc>
          <w:tcPr>
            <w:tcW w:w="1301" w:type="dxa"/>
          </w:tcPr>
          <w:p w14:paraId="1984BF62" w14:textId="77777777" w:rsidR="000013FC" w:rsidRPr="00973AF7" w:rsidRDefault="000013FC" w:rsidP="00C72836">
            <w:pPr>
              <w:pStyle w:val="Initiativefigures"/>
            </w:pPr>
            <w:r w:rsidRPr="00973AF7">
              <w:t>2020-21</w:t>
            </w:r>
          </w:p>
          <w:p w14:paraId="14AEC7CE" w14:textId="77777777" w:rsidR="000013FC" w:rsidRPr="00973AF7" w:rsidRDefault="000013FC" w:rsidP="00C72836">
            <w:pPr>
              <w:pStyle w:val="Initiativefigures"/>
            </w:pPr>
            <w:r w:rsidRPr="00973AF7">
              <w:t>$’000</w:t>
            </w:r>
          </w:p>
        </w:tc>
        <w:tc>
          <w:tcPr>
            <w:tcW w:w="1301" w:type="dxa"/>
          </w:tcPr>
          <w:p w14:paraId="1033DBF7" w14:textId="77777777" w:rsidR="000013FC" w:rsidRPr="00973AF7" w:rsidRDefault="000013FC" w:rsidP="00C72836">
            <w:pPr>
              <w:pStyle w:val="Initiativefigures"/>
            </w:pPr>
            <w:r w:rsidRPr="00973AF7">
              <w:t>2021-22</w:t>
            </w:r>
          </w:p>
          <w:p w14:paraId="308A5A10" w14:textId="77777777" w:rsidR="000013FC" w:rsidRPr="00973AF7" w:rsidRDefault="000013FC" w:rsidP="00C72836">
            <w:pPr>
              <w:pStyle w:val="Initiativefigures"/>
            </w:pPr>
            <w:r w:rsidRPr="00973AF7">
              <w:t>$’000</w:t>
            </w:r>
          </w:p>
        </w:tc>
        <w:tc>
          <w:tcPr>
            <w:tcW w:w="1301" w:type="dxa"/>
          </w:tcPr>
          <w:p w14:paraId="46ADEEA8" w14:textId="77777777" w:rsidR="000013FC" w:rsidRPr="00973AF7" w:rsidRDefault="000013FC" w:rsidP="00C72836">
            <w:pPr>
              <w:pStyle w:val="Initiativefigures"/>
            </w:pPr>
            <w:r w:rsidRPr="00973AF7">
              <w:t>2022-23</w:t>
            </w:r>
          </w:p>
          <w:p w14:paraId="19A96A84" w14:textId="77777777" w:rsidR="000013FC" w:rsidRPr="00973AF7" w:rsidRDefault="000013FC" w:rsidP="00C72836">
            <w:pPr>
              <w:pStyle w:val="Initiativefigures"/>
            </w:pPr>
            <w:r w:rsidRPr="00973AF7">
              <w:t>$’000</w:t>
            </w:r>
          </w:p>
        </w:tc>
        <w:tc>
          <w:tcPr>
            <w:tcW w:w="1302" w:type="dxa"/>
          </w:tcPr>
          <w:p w14:paraId="1368085F" w14:textId="77777777" w:rsidR="000013FC" w:rsidRPr="00973AF7" w:rsidRDefault="000013FC" w:rsidP="00C72836">
            <w:pPr>
              <w:pStyle w:val="Initiativefigures"/>
              <w:rPr>
                <w:b/>
                <w:bCs/>
              </w:rPr>
            </w:pPr>
            <w:r w:rsidRPr="00973AF7">
              <w:rPr>
                <w:b/>
                <w:bCs/>
              </w:rPr>
              <w:t xml:space="preserve">Total </w:t>
            </w:r>
          </w:p>
          <w:p w14:paraId="1915E3C1" w14:textId="77777777" w:rsidR="000013FC" w:rsidRPr="00973AF7" w:rsidRDefault="000013FC" w:rsidP="00C72836">
            <w:pPr>
              <w:pStyle w:val="Initiativefigures"/>
              <w:rPr>
                <w:b/>
                <w:bCs/>
              </w:rPr>
            </w:pPr>
            <w:r w:rsidRPr="00973AF7">
              <w:rPr>
                <w:b/>
                <w:bCs/>
              </w:rPr>
              <w:t>$’000</w:t>
            </w:r>
          </w:p>
        </w:tc>
      </w:tr>
      <w:tr w:rsidR="000013FC" w:rsidRPr="00973AF7" w14:paraId="5EBF869C" w14:textId="77777777" w:rsidTr="00C72836">
        <w:tc>
          <w:tcPr>
            <w:tcW w:w="2510" w:type="dxa"/>
          </w:tcPr>
          <w:p w14:paraId="6062DC5A" w14:textId="77777777" w:rsidR="000013FC" w:rsidRPr="00973AF7" w:rsidRDefault="000013FC" w:rsidP="00C72836">
            <w:pPr>
              <w:pStyle w:val="Initiativetext"/>
            </w:pPr>
            <w:r w:rsidRPr="00973AF7">
              <w:t>Revenue forgone</w:t>
            </w:r>
          </w:p>
        </w:tc>
        <w:tc>
          <w:tcPr>
            <w:tcW w:w="1301" w:type="dxa"/>
          </w:tcPr>
          <w:p w14:paraId="4BAC4B86" w14:textId="77777777" w:rsidR="000013FC" w:rsidRPr="00973AF7" w:rsidRDefault="000013FC" w:rsidP="00C72836">
            <w:pPr>
              <w:pStyle w:val="Initiativefigures"/>
            </w:pPr>
            <w:r w:rsidRPr="00973AF7">
              <w:t>0</w:t>
            </w:r>
          </w:p>
        </w:tc>
        <w:tc>
          <w:tcPr>
            <w:tcW w:w="1301" w:type="dxa"/>
          </w:tcPr>
          <w:p w14:paraId="2BDA43EC" w14:textId="77777777" w:rsidR="000013FC" w:rsidRPr="00973AF7" w:rsidRDefault="000013FC" w:rsidP="00C72836">
            <w:pPr>
              <w:pStyle w:val="Initiativefigures"/>
            </w:pPr>
            <w:r w:rsidRPr="00973AF7">
              <w:t>3,800</w:t>
            </w:r>
          </w:p>
        </w:tc>
        <w:tc>
          <w:tcPr>
            <w:tcW w:w="1301" w:type="dxa"/>
          </w:tcPr>
          <w:p w14:paraId="6F6C9251" w14:textId="77777777" w:rsidR="000013FC" w:rsidRPr="00973AF7" w:rsidRDefault="000013FC" w:rsidP="00C72836">
            <w:pPr>
              <w:pStyle w:val="Initiativefigures"/>
            </w:pPr>
            <w:r w:rsidRPr="00973AF7">
              <w:t>4,000</w:t>
            </w:r>
          </w:p>
        </w:tc>
        <w:tc>
          <w:tcPr>
            <w:tcW w:w="1301" w:type="dxa"/>
          </w:tcPr>
          <w:p w14:paraId="3336289C" w14:textId="77777777" w:rsidR="000013FC" w:rsidRPr="00973AF7" w:rsidRDefault="000013FC" w:rsidP="00C72836">
            <w:pPr>
              <w:pStyle w:val="Initiativefigures"/>
            </w:pPr>
            <w:r w:rsidRPr="00973AF7">
              <w:t>4,200</w:t>
            </w:r>
          </w:p>
        </w:tc>
        <w:tc>
          <w:tcPr>
            <w:tcW w:w="1302" w:type="dxa"/>
          </w:tcPr>
          <w:p w14:paraId="3FC0B3D3" w14:textId="77777777" w:rsidR="000013FC" w:rsidRPr="00973AF7" w:rsidRDefault="000013FC" w:rsidP="00C72836">
            <w:pPr>
              <w:pStyle w:val="Initiativefigures"/>
              <w:rPr>
                <w:b/>
                <w:bCs/>
              </w:rPr>
            </w:pPr>
            <w:r w:rsidRPr="00973AF7">
              <w:rPr>
                <w:b/>
                <w:bCs/>
              </w:rPr>
              <w:t>12,000</w:t>
            </w:r>
          </w:p>
        </w:tc>
      </w:tr>
    </w:tbl>
    <w:p w14:paraId="749BEA28" w14:textId="1569A89B" w:rsidR="000013FC" w:rsidRPr="00973AF7" w:rsidRDefault="000013FC" w:rsidP="000013FC">
      <w:pPr>
        <w:pStyle w:val="Bbodytext"/>
      </w:pPr>
      <w:r w:rsidRPr="00973AF7">
        <w:t>The Government will freeze vehicle registration fees at their current level for 2020-21</w:t>
      </w:r>
      <w:r w:rsidR="00473880">
        <w:t xml:space="preserve">.  </w:t>
      </w:r>
    </w:p>
    <w:p w14:paraId="4BD4DC35" w14:textId="77777777" w:rsidR="000013FC" w:rsidRPr="00973AF7" w:rsidRDefault="000013FC" w:rsidP="000013FC">
      <w:pPr>
        <w:pStyle w:val="Heading3"/>
        <w:rPr>
          <w:bCs/>
        </w:rPr>
      </w:pPr>
      <w:r w:rsidRPr="00973AF7">
        <w:t xml:space="preserve">Freezing the Utilities Network Facilities Tax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1923625E" w14:textId="77777777" w:rsidTr="00C72836">
        <w:tc>
          <w:tcPr>
            <w:tcW w:w="2510" w:type="dxa"/>
            <w:tcBorders>
              <w:bottom w:val="single" w:sz="4" w:space="0" w:color="auto"/>
            </w:tcBorders>
          </w:tcPr>
          <w:p w14:paraId="4010BAC4" w14:textId="77777777" w:rsidR="000013FC" w:rsidRPr="00973AF7" w:rsidRDefault="000013FC" w:rsidP="00C72836">
            <w:pPr>
              <w:pStyle w:val="Initiativefigures"/>
            </w:pPr>
          </w:p>
        </w:tc>
        <w:tc>
          <w:tcPr>
            <w:tcW w:w="1301" w:type="dxa"/>
            <w:tcBorders>
              <w:bottom w:val="single" w:sz="4" w:space="0" w:color="auto"/>
            </w:tcBorders>
          </w:tcPr>
          <w:p w14:paraId="5CD9BF0D" w14:textId="77777777" w:rsidR="000013FC" w:rsidRPr="00973AF7" w:rsidRDefault="000013FC" w:rsidP="00C72836">
            <w:pPr>
              <w:pStyle w:val="Initiativefigures"/>
            </w:pPr>
            <w:r w:rsidRPr="00973AF7">
              <w:t>2019-20</w:t>
            </w:r>
          </w:p>
          <w:p w14:paraId="28834B5D" w14:textId="77777777" w:rsidR="000013FC" w:rsidRPr="00973AF7" w:rsidRDefault="000013FC" w:rsidP="00C72836">
            <w:pPr>
              <w:pStyle w:val="Initiativefigures"/>
            </w:pPr>
            <w:r w:rsidRPr="00973AF7">
              <w:t>$’000</w:t>
            </w:r>
          </w:p>
        </w:tc>
        <w:tc>
          <w:tcPr>
            <w:tcW w:w="1301" w:type="dxa"/>
            <w:tcBorders>
              <w:bottom w:val="single" w:sz="4" w:space="0" w:color="auto"/>
            </w:tcBorders>
          </w:tcPr>
          <w:p w14:paraId="4FEEE901" w14:textId="77777777" w:rsidR="000013FC" w:rsidRPr="00973AF7" w:rsidRDefault="000013FC" w:rsidP="00C72836">
            <w:pPr>
              <w:pStyle w:val="Initiativefigures"/>
            </w:pPr>
            <w:r w:rsidRPr="00973AF7">
              <w:t>2020-21</w:t>
            </w:r>
          </w:p>
          <w:p w14:paraId="1B6DAA60" w14:textId="77777777" w:rsidR="000013FC" w:rsidRPr="00973AF7" w:rsidRDefault="000013FC" w:rsidP="00C72836">
            <w:pPr>
              <w:pStyle w:val="Initiativefigures"/>
            </w:pPr>
            <w:r w:rsidRPr="00973AF7">
              <w:t>$’000</w:t>
            </w:r>
          </w:p>
        </w:tc>
        <w:tc>
          <w:tcPr>
            <w:tcW w:w="1301" w:type="dxa"/>
            <w:tcBorders>
              <w:bottom w:val="single" w:sz="4" w:space="0" w:color="auto"/>
            </w:tcBorders>
          </w:tcPr>
          <w:p w14:paraId="592DE4A3" w14:textId="77777777" w:rsidR="000013FC" w:rsidRPr="00973AF7" w:rsidRDefault="000013FC" w:rsidP="00C72836">
            <w:pPr>
              <w:pStyle w:val="Initiativefigures"/>
            </w:pPr>
            <w:r w:rsidRPr="00973AF7">
              <w:t>2021-22</w:t>
            </w:r>
          </w:p>
          <w:p w14:paraId="50A93128" w14:textId="77777777" w:rsidR="000013FC" w:rsidRPr="00973AF7" w:rsidRDefault="000013FC" w:rsidP="00C72836">
            <w:pPr>
              <w:pStyle w:val="Initiativefigures"/>
            </w:pPr>
            <w:r w:rsidRPr="00973AF7">
              <w:t>$’000</w:t>
            </w:r>
          </w:p>
        </w:tc>
        <w:tc>
          <w:tcPr>
            <w:tcW w:w="1301" w:type="dxa"/>
            <w:tcBorders>
              <w:bottom w:val="single" w:sz="4" w:space="0" w:color="auto"/>
            </w:tcBorders>
          </w:tcPr>
          <w:p w14:paraId="05CFB39C" w14:textId="77777777" w:rsidR="000013FC" w:rsidRPr="00973AF7" w:rsidRDefault="000013FC" w:rsidP="00C72836">
            <w:pPr>
              <w:pStyle w:val="Initiativefigures"/>
            </w:pPr>
            <w:r w:rsidRPr="00973AF7">
              <w:t>2022-23</w:t>
            </w:r>
          </w:p>
          <w:p w14:paraId="0C2A269D" w14:textId="77777777" w:rsidR="000013FC" w:rsidRPr="00973AF7" w:rsidRDefault="000013FC" w:rsidP="00C72836">
            <w:pPr>
              <w:pStyle w:val="Initiativefigures"/>
            </w:pPr>
            <w:r w:rsidRPr="00973AF7">
              <w:t>$’000</w:t>
            </w:r>
          </w:p>
        </w:tc>
        <w:tc>
          <w:tcPr>
            <w:tcW w:w="1302" w:type="dxa"/>
            <w:tcBorders>
              <w:bottom w:val="single" w:sz="4" w:space="0" w:color="auto"/>
            </w:tcBorders>
          </w:tcPr>
          <w:p w14:paraId="48181EB1" w14:textId="77777777" w:rsidR="000013FC" w:rsidRPr="00973AF7" w:rsidRDefault="000013FC" w:rsidP="00C72836">
            <w:pPr>
              <w:pStyle w:val="Initiativefigures"/>
              <w:rPr>
                <w:b/>
                <w:bCs/>
              </w:rPr>
            </w:pPr>
            <w:r w:rsidRPr="00973AF7">
              <w:rPr>
                <w:b/>
                <w:bCs/>
              </w:rPr>
              <w:t xml:space="preserve">Total </w:t>
            </w:r>
          </w:p>
          <w:p w14:paraId="605E34FB" w14:textId="77777777" w:rsidR="000013FC" w:rsidRPr="00973AF7" w:rsidRDefault="000013FC" w:rsidP="00C72836">
            <w:pPr>
              <w:pStyle w:val="Initiativefigures"/>
              <w:rPr>
                <w:b/>
                <w:bCs/>
              </w:rPr>
            </w:pPr>
            <w:r w:rsidRPr="00973AF7">
              <w:rPr>
                <w:b/>
                <w:bCs/>
              </w:rPr>
              <w:t>$’000</w:t>
            </w:r>
          </w:p>
        </w:tc>
      </w:tr>
      <w:tr w:rsidR="000013FC" w:rsidRPr="00973AF7" w14:paraId="11DAD8F0" w14:textId="77777777" w:rsidTr="00C72836">
        <w:tc>
          <w:tcPr>
            <w:tcW w:w="2510" w:type="dxa"/>
            <w:tcBorders>
              <w:bottom w:val="single" w:sz="4" w:space="0" w:color="auto"/>
            </w:tcBorders>
          </w:tcPr>
          <w:p w14:paraId="7D817A2D" w14:textId="77777777" w:rsidR="000013FC" w:rsidRPr="00973AF7" w:rsidRDefault="000013FC" w:rsidP="00C72836">
            <w:pPr>
              <w:pStyle w:val="Initiativetext"/>
            </w:pPr>
            <w:r w:rsidRPr="00973AF7">
              <w:t>Revenue forgone</w:t>
            </w:r>
          </w:p>
        </w:tc>
        <w:tc>
          <w:tcPr>
            <w:tcW w:w="1301" w:type="dxa"/>
            <w:tcBorders>
              <w:bottom w:val="single" w:sz="4" w:space="0" w:color="auto"/>
            </w:tcBorders>
          </w:tcPr>
          <w:p w14:paraId="6B38FBDE" w14:textId="77777777" w:rsidR="000013FC" w:rsidRPr="00973AF7" w:rsidRDefault="000013FC" w:rsidP="00C72836">
            <w:pPr>
              <w:pStyle w:val="Initiativefigures"/>
            </w:pPr>
            <w:r w:rsidRPr="00973AF7">
              <w:t>500</w:t>
            </w:r>
          </w:p>
        </w:tc>
        <w:tc>
          <w:tcPr>
            <w:tcW w:w="1301" w:type="dxa"/>
            <w:tcBorders>
              <w:bottom w:val="single" w:sz="4" w:space="0" w:color="auto"/>
            </w:tcBorders>
          </w:tcPr>
          <w:p w14:paraId="042366AB" w14:textId="77777777" w:rsidR="000013FC" w:rsidRPr="00973AF7" w:rsidRDefault="000013FC" w:rsidP="00C72836">
            <w:pPr>
              <w:pStyle w:val="Initiativefigures"/>
            </w:pPr>
            <w:r w:rsidRPr="00973AF7">
              <w:t>1,500</w:t>
            </w:r>
          </w:p>
        </w:tc>
        <w:tc>
          <w:tcPr>
            <w:tcW w:w="1301" w:type="dxa"/>
            <w:tcBorders>
              <w:bottom w:val="single" w:sz="4" w:space="0" w:color="auto"/>
            </w:tcBorders>
          </w:tcPr>
          <w:p w14:paraId="5D265AB4" w14:textId="77777777" w:rsidR="000013FC" w:rsidRPr="00973AF7" w:rsidRDefault="000013FC" w:rsidP="00C72836">
            <w:pPr>
              <w:pStyle w:val="Initiativefigures"/>
            </w:pPr>
            <w:r w:rsidRPr="00973AF7">
              <w:t>0</w:t>
            </w:r>
          </w:p>
        </w:tc>
        <w:tc>
          <w:tcPr>
            <w:tcW w:w="1301" w:type="dxa"/>
            <w:tcBorders>
              <w:bottom w:val="single" w:sz="4" w:space="0" w:color="auto"/>
            </w:tcBorders>
          </w:tcPr>
          <w:p w14:paraId="23728827" w14:textId="77777777" w:rsidR="000013FC" w:rsidRPr="00973AF7" w:rsidRDefault="000013FC" w:rsidP="00C72836">
            <w:pPr>
              <w:pStyle w:val="Initiativefigures"/>
            </w:pPr>
            <w:r w:rsidRPr="00973AF7">
              <w:t>0</w:t>
            </w:r>
          </w:p>
        </w:tc>
        <w:tc>
          <w:tcPr>
            <w:tcW w:w="1302" w:type="dxa"/>
            <w:tcBorders>
              <w:bottom w:val="single" w:sz="4" w:space="0" w:color="auto"/>
            </w:tcBorders>
          </w:tcPr>
          <w:p w14:paraId="7BDE150F" w14:textId="77777777" w:rsidR="000013FC" w:rsidRPr="00973AF7" w:rsidRDefault="000013FC" w:rsidP="00C72836">
            <w:pPr>
              <w:pStyle w:val="Initiativefigures"/>
              <w:rPr>
                <w:b/>
                <w:bCs/>
              </w:rPr>
            </w:pPr>
            <w:r w:rsidRPr="00973AF7">
              <w:rPr>
                <w:b/>
                <w:bCs/>
              </w:rPr>
              <w:t>2,000</w:t>
            </w:r>
          </w:p>
        </w:tc>
      </w:tr>
    </w:tbl>
    <w:p w14:paraId="13C125AA" w14:textId="5CD22E9B" w:rsidR="000013FC" w:rsidRPr="00973AF7" w:rsidRDefault="000013FC" w:rsidP="000013FC">
      <w:pPr>
        <w:pStyle w:val="Bbodytext"/>
      </w:pPr>
      <w:r w:rsidRPr="00973AF7">
        <w:t>The Government will freeze the Utilities Network Facilities Tax (UNFT) at its current level for the next year</w:t>
      </w:r>
      <w:r w:rsidR="00473880">
        <w:t xml:space="preserve">. </w:t>
      </w:r>
      <w:r w:rsidRPr="00973AF7">
        <w:t>Freezing the UNFT will enable utility providers to pass on savings to customers and support improved hardship measures for ACT customers</w:t>
      </w:r>
      <w:r w:rsidR="00473880">
        <w:t xml:space="preserve">. </w:t>
      </w:r>
    </w:p>
    <w:p w14:paraId="73CEA041" w14:textId="33BFA758" w:rsidR="000013FC" w:rsidRPr="00973AF7" w:rsidRDefault="000013FC" w:rsidP="000013FC">
      <w:pPr>
        <w:pStyle w:val="Bbodytext"/>
      </w:pPr>
      <w:r w:rsidRPr="00973AF7">
        <w:t>The UNFT is paid by utility providers and applies to any network facility on land in the ACT, including networks for transmitting and distributing electricity, gas, sewage, water and telecommunications</w:t>
      </w:r>
      <w:r w:rsidR="00473880">
        <w:t xml:space="preserve">. </w:t>
      </w:r>
    </w:p>
    <w:p w14:paraId="27FDEF73" w14:textId="3044B0E7" w:rsidR="00907A70" w:rsidRPr="00973AF7" w:rsidRDefault="008678DD" w:rsidP="000373C6">
      <w:pPr>
        <w:pStyle w:val="Heading3"/>
      </w:pPr>
      <w:r w:rsidRPr="00973AF7">
        <w:t>Residential rates</w:t>
      </w:r>
      <w:r w:rsidR="003140C0" w:rsidRPr="00973AF7">
        <w:t xml:space="preserve"> – </w:t>
      </w:r>
      <w:r w:rsidR="005E2756" w:rsidRPr="00973AF7">
        <w:t>2020-21 settin</w:t>
      </w:r>
      <w:r w:rsidR="00CC06A2" w:rsidRPr="00973AF7">
        <w:t>g</w:t>
      </w:r>
    </w:p>
    <w:tbl>
      <w:tblPr>
        <w:tblStyle w:val="TableGrid"/>
        <w:tblW w:w="8958" w:type="dxa"/>
        <w:tblBorders>
          <w:left w:val="none" w:sz="0" w:space="0" w:color="auto"/>
          <w:right w:val="none" w:sz="0" w:space="0" w:color="auto"/>
          <w:insideV w:val="none" w:sz="0" w:space="0" w:color="auto"/>
        </w:tblBorders>
        <w:tblLook w:val="04A0" w:firstRow="1" w:lastRow="0" w:firstColumn="1" w:lastColumn="0" w:noHBand="0" w:noVBand="1"/>
      </w:tblPr>
      <w:tblGrid>
        <w:gridCol w:w="2438"/>
        <w:gridCol w:w="1304"/>
        <w:gridCol w:w="1304"/>
        <w:gridCol w:w="1304"/>
        <w:gridCol w:w="1304"/>
        <w:gridCol w:w="1304"/>
      </w:tblGrid>
      <w:tr w:rsidR="00163886" w:rsidRPr="00973AF7" w14:paraId="63BA216F" w14:textId="77777777" w:rsidTr="007F153E">
        <w:tc>
          <w:tcPr>
            <w:tcW w:w="2438" w:type="dxa"/>
          </w:tcPr>
          <w:p w14:paraId="30B76617" w14:textId="77777777" w:rsidR="007A0D40" w:rsidRPr="00973AF7" w:rsidRDefault="007A0D40" w:rsidP="007A0D40">
            <w:pPr>
              <w:pStyle w:val="Initiativefigures"/>
            </w:pPr>
          </w:p>
        </w:tc>
        <w:tc>
          <w:tcPr>
            <w:tcW w:w="1304" w:type="dxa"/>
          </w:tcPr>
          <w:p w14:paraId="2B3232B5" w14:textId="77777777" w:rsidR="007A0D40" w:rsidRPr="00973AF7" w:rsidRDefault="007A0D40" w:rsidP="007A0D40">
            <w:pPr>
              <w:pStyle w:val="Initiativefigures"/>
            </w:pPr>
            <w:r w:rsidRPr="00973AF7">
              <w:t>2019-20</w:t>
            </w:r>
          </w:p>
          <w:p w14:paraId="06D4607E" w14:textId="3FD00E3D" w:rsidR="007A0D40" w:rsidRPr="00973AF7" w:rsidRDefault="007A0D40" w:rsidP="007A0D40">
            <w:pPr>
              <w:pStyle w:val="Initiativefigures"/>
            </w:pPr>
            <w:r w:rsidRPr="00973AF7">
              <w:t>$’000</w:t>
            </w:r>
          </w:p>
        </w:tc>
        <w:tc>
          <w:tcPr>
            <w:tcW w:w="1304" w:type="dxa"/>
          </w:tcPr>
          <w:p w14:paraId="5C8BD461" w14:textId="77777777" w:rsidR="007A0D40" w:rsidRPr="00973AF7" w:rsidRDefault="007A0D40" w:rsidP="007A0D40">
            <w:pPr>
              <w:pStyle w:val="Initiativefigures"/>
            </w:pPr>
            <w:r w:rsidRPr="00973AF7">
              <w:t>2020-21</w:t>
            </w:r>
          </w:p>
          <w:p w14:paraId="1C8676FA" w14:textId="7B5F63C7" w:rsidR="007A0D40" w:rsidRPr="00973AF7" w:rsidRDefault="007A0D40" w:rsidP="007A0D40">
            <w:pPr>
              <w:pStyle w:val="Initiativefigures"/>
            </w:pPr>
            <w:r w:rsidRPr="00973AF7">
              <w:t>$’000</w:t>
            </w:r>
          </w:p>
        </w:tc>
        <w:tc>
          <w:tcPr>
            <w:tcW w:w="1304" w:type="dxa"/>
          </w:tcPr>
          <w:p w14:paraId="7AA80C89" w14:textId="77777777" w:rsidR="007A0D40" w:rsidRPr="00973AF7" w:rsidRDefault="007A0D40" w:rsidP="007A0D40">
            <w:pPr>
              <w:pStyle w:val="Initiativefigures"/>
            </w:pPr>
            <w:r w:rsidRPr="00973AF7">
              <w:t>2021-22</w:t>
            </w:r>
          </w:p>
          <w:p w14:paraId="6D8F06F2" w14:textId="1BF5D5D0" w:rsidR="007A0D40" w:rsidRPr="00973AF7" w:rsidRDefault="007A0D40" w:rsidP="007A0D40">
            <w:pPr>
              <w:pStyle w:val="Initiativefigures"/>
            </w:pPr>
            <w:r w:rsidRPr="00973AF7">
              <w:t>$’000</w:t>
            </w:r>
          </w:p>
        </w:tc>
        <w:tc>
          <w:tcPr>
            <w:tcW w:w="1304" w:type="dxa"/>
          </w:tcPr>
          <w:p w14:paraId="5D03F2C8" w14:textId="77777777" w:rsidR="007A0D40" w:rsidRPr="00973AF7" w:rsidRDefault="007A0D40" w:rsidP="007A0D40">
            <w:pPr>
              <w:pStyle w:val="Initiativefigures"/>
            </w:pPr>
            <w:r w:rsidRPr="00973AF7">
              <w:t>2022-23</w:t>
            </w:r>
          </w:p>
          <w:p w14:paraId="230A5F9C" w14:textId="7B85D4EB" w:rsidR="007A0D40" w:rsidRPr="00973AF7" w:rsidRDefault="007A0D40" w:rsidP="007A0D40">
            <w:pPr>
              <w:pStyle w:val="Initiativefigures"/>
            </w:pPr>
            <w:r w:rsidRPr="00973AF7">
              <w:t>$’000</w:t>
            </w:r>
          </w:p>
        </w:tc>
        <w:tc>
          <w:tcPr>
            <w:tcW w:w="1304" w:type="dxa"/>
          </w:tcPr>
          <w:p w14:paraId="196B27F3" w14:textId="77777777" w:rsidR="007A0D40" w:rsidRPr="00973AF7" w:rsidRDefault="007A0D40" w:rsidP="007A0D40">
            <w:pPr>
              <w:pStyle w:val="Initiativefigures"/>
              <w:rPr>
                <w:b/>
                <w:bCs/>
              </w:rPr>
            </w:pPr>
            <w:r w:rsidRPr="00973AF7">
              <w:rPr>
                <w:b/>
                <w:bCs/>
              </w:rPr>
              <w:t xml:space="preserve">Total </w:t>
            </w:r>
          </w:p>
          <w:p w14:paraId="6002BA83" w14:textId="3EE8442F" w:rsidR="007A0D40" w:rsidRPr="00973AF7" w:rsidRDefault="007A0D40" w:rsidP="007A0D40">
            <w:pPr>
              <w:pStyle w:val="Initiativefigures"/>
              <w:rPr>
                <w:b/>
                <w:bCs/>
              </w:rPr>
            </w:pPr>
            <w:r w:rsidRPr="00973AF7">
              <w:rPr>
                <w:b/>
                <w:bCs/>
              </w:rPr>
              <w:t>$’000</w:t>
            </w:r>
          </w:p>
        </w:tc>
      </w:tr>
      <w:tr w:rsidR="00163886" w:rsidRPr="00973AF7" w14:paraId="10B193E7" w14:textId="77777777" w:rsidTr="007F153E">
        <w:tc>
          <w:tcPr>
            <w:tcW w:w="2438" w:type="dxa"/>
          </w:tcPr>
          <w:p w14:paraId="76A1841A" w14:textId="2ED17BF1" w:rsidR="00DA459D" w:rsidRPr="00973AF7" w:rsidRDefault="00C87892" w:rsidP="000373C6">
            <w:pPr>
              <w:pStyle w:val="Initiativetext"/>
            </w:pPr>
            <w:r w:rsidRPr="00973AF7">
              <w:t xml:space="preserve">Revenue </w:t>
            </w:r>
            <w:r w:rsidR="0049122C" w:rsidRPr="00973AF7">
              <w:t>forgone</w:t>
            </w:r>
          </w:p>
        </w:tc>
        <w:tc>
          <w:tcPr>
            <w:tcW w:w="1304" w:type="dxa"/>
          </w:tcPr>
          <w:p w14:paraId="2D55BF0D" w14:textId="0725257E" w:rsidR="00DA459D" w:rsidRPr="00973AF7" w:rsidRDefault="00D02532" w:rsidP="000373C6">
            <w:pPr>
              <w:pStyle w:val="Initiativefigures"/>
            </w:pPr>
            <w:r w:rsidRPr="00973AF7">
              <w:t>0</w:t>
            </w:r>
          </w:p>
        </w:tc>
        <w:tc>
          <w:tcPr>
            <w:tcW w:w="1304" w:type="dxa"/>
          </w:tcPr>
          <w:p w14:paraId="4D8F14E3" w14:textId="7955B86D" w:rsidR="00DA459D" w:rsidRPr="00973AF7" w:rsidRDefault="00163886" w:rsidP="000373C6">
            <w:pPr>
              <w:pStyle w:val="Initiativefigures"/>
            </w:pPr>
            <w:r w:rsidRPr="00973AF7">
              <w:t>32,941</w:t>
            </w:r>
          </w:p>
        </w:tc>
        <w:tc>
          <w:tcPr>
            <w:tcW w:w="1304" w:type="dxa"/>
          </w:tcPr>
          <w:p w14:paraId="05212707" w14:textId="20BFCF73" w:rsidR="00DA459D" w:rsidRPr="00973AF7" w:rsidRDefault="00163886" w:rsidP="000373C6">
            <w:pPr>
              <w:pStyle w:val="Initiativefigures"/>
            </w:pPr>
            <w:r w:rsidRPr="00973AF7">
              <w:t>7,887</w:t>
            </w:r>
          </w:p>
        </w:tc>
        <w:tc>
          <w:tcPr>
            <w:tcW w:w="1304" w:type="dxa"/>
          </w:tcPr>
          <w:p w14:paraId="63E2F3DC" w14:textId="79864517" w:rsidR="00DA459D" w:rsidRPr="00973AF7" w:rsidRDefault="00163886" w:rsidP="000373C6">
            <w:pPr>
              <w:pStyle w:val="Initiativefigures"/>
            </w:pPr>
            <w:r w:rsidRPr="00973AF7">
              <w:t>8,36</w:t>
            </w:r>
            <w:r w:rsidR="00D02532" w:rsidRPr="00973AF7">
              <w:t>0</w:t>
            </w:r>
          </w:p>
        </w:tc>
        <w:tc>
          <w:tcPr>
            <w:tcW w:w="1304" w:type="dxa"/>
          </w:tcPr>
          <w:p w14:paraId="14B2213B" w14:textId="68D4C624" w:rsidR="00DA459D" w:rsidRPr="00973AF7" w:rsidRDefault="00163886" w:rsidP="000373C6">
            <w:pPr>
              <w:pStyle w:val="Initiativefigures"/>
              <w:rPr>
                <w:b/>
                <w:bCs/>
              </w:rPr>
            </w:pPr>
            <w:r w:rsidRPr="00973AF7">
              <w:rPr>
                <w:b/>
                <w:bCs/>
              </w:rPr>
              <w:t>49,188</w:t>
            </w:r>
          </w:p>
        </w:tc>
      </w:tr>
    </w:tbl>
    <w:p w14:paraId="3B03DCDC" w14:textId="1A87EEFD" w:rsidR="00E24A83" w:rsidRDefault="00163886" w:rsidP="003D74C5">
      <w:pPr>
        <w:pStyle w:val="Bbodytext"/>
        <w:rPr>
          <w:rFonts w:ascii="Calibri" w:eastAsiaTheme="majorEastAsia" w:hAnsi="Calibri" w:cstheme="majorBidi"/>
          <w:szCs w:val="24"/>
        </w:rPr>
      </w:pPr>
      <w:r w:rsidRPr="00973AF7">
        <w:rPr>
          <w:rFonts w:ascii="Calibri" w:eastAsiaTheme="majorEastAsia" w:hAnsi="Calibri" w:cstheme="majorBidi"/>
          <w:szCs w:val="24"/>
        </w:rPr>
        <w:t xml:space="preserve">The Government will automatically apply a $150 rebate to the fixed-charge </w:t>
      </w:r>
      <w:r w:rsidRPr="003D74C5">
        <w:t>components</w:t>
      </w:r>
      <w:r w:rsidRPr="00973AF7">
        <w:rPr>
          <w:rFonts w:ascii="Calibri" w:eastAsiaTheme="majorEastAsia" w:hAnsi="Calibri" w:cstheme="majorBidi"/>
          <w:szCs w:val="24"/>
        </w:rPr>
        <w:t xml:space="preserve"> of all residential rates bills in 2020-21</w:t>
      </w:r>
      <w:r w:rsidR="00473880">
        <w:rPr>
          <w:rFonts w:ascii="Calibri" w:eastAsiaTheme="majorEastAsia" w:hAnsi="Calibri" w:cstheme="majorBidi"/>
          <w:szCs w:val="24"/>
        </w:rPr>
        <w:t xml:space="preserve">. </w:t>
      </w:r>
    </w:p>
    <w:p w14:paraId="0245C5EA" w14:textId="7A539B91" w:rsidR="00163886" w:rsidRPr="00973AF7" w:rsidRDefault="00163886" w:rsidP="003D74C5">
      <w:pPr>
        <w:pStyle w:val="Bbodytext"/>
      </w:pPr>
      <w:r w:rsidRPr="00973AF7">
        <w:rPr>
          <w:rFonts w:ascii="Calibri" w:eastAsiaTheme="majorEastAsia" w:hAnsi="Calibri" w:cstheme="majorBidi"/>
          <w:szCs w:val="24"/>
        </w:rPr>
        <w:t>The Government is also setting the average rates increase for houses and units in 2020-21 at 0 per cent</w:t>
      </w:r>
      <w:r w:rsidR="00C117E5" w:rsidRPr="00973AF7">
        <w:t>, inclusive of the $150 fixed charge rebate</w:t>
      </w:r>
      <w:r w:rsidR="00473880">
        <w:rPr>
          <w:rFonts w:ascii="Calibri" w:eastAsiaTheme="majorEastAsia" w:hAnsi="Calibri" w:cstheme="majorBidi"/>
          <w:szCs w:val="24"/>
        </w:rPr>
        <w:t xml:space="preserve">. </w:t>
      </w:r>
      <w:r w:rsidRPr="00973AF7">
        <w:rPr>
          <w:rFonts w:ascii="Calibri" w:eastAsiaTheme="majorEastAsia" w:hAnsi="Calibri" w:cstheme="majorBidi"/>
          <w:szCs w:val="24"/>
        </w:rPr>
        <w:t xml:space="preserve">This means that general rates revenue collected from current rateable properties will not increase, but </w:t>
      </w:r>
      <w:r w:rsidR="00A72A37">
        <w:rPr>
          <w:rFonts w:ascii="Calibri" w:eastAsiaTheme="majorEastAsia" w:hAnsi="Calibri" w:cstheme="majorBidi"/>
          <w:szCs w:val="24"/>
        </w:rPr>
        <w:t xml:space="preserve">individual property </w:t>
      </w:r>
      <w:r w:rsidRPr="00973AF7">
        <w:rPr>
          <w:rFonts w:ascii="Calibri" w:eastAsiaTheme="majorEastAsia" w:hAnsi="Calibri" w:cstheme="majorBidi"/>
          <w:szCs w:val="24"/>
        </w:rPr>
        <w:t xml:space="preserve">rates </w:t>
      </w:r>
      <w:r w:rsidR="00A72A37">
        <w:rPr>
          <w:rFonts w:ascii="Calibri" w:eastAsiaTheme="majorEastAsia" w:hAnsi="Calibri" w:cstheme="majorBidi"/>
          <w:szCs w:val="24"/>
        </w:rPr>
        <w:t xml:space="preserve">may </w:t>
      </w:r>
      <w:r w:rsidRPr="00973AF7">
        <w:rPr>
          <w:rFonts w:ascii="Calibri" w:eastAsiaTheme="majorEastAsia" w:hAnsi="Calibri" w:cstheme="majorBidi"/>
          <w:szCs w:val="24"/>
        </w:rPr>
        <w:t>change in line with changes in land values</w:t>
      </w:r>
      <w:r w:rsidR="00473880">
        <w:rPr>
          <w:rFonts w:ascii="Calibri" w:eastAsiaTheme="majorEastAsia" w:hAnsi="Calibri" w:cstheme="majorBidi"/>
          <w:szCs w:val="24"/>
        </w:rPr>
        <w:t xml:space="preserve">. </w:t>
      </w:r>
      <w:r w:rsidRPr="00973AF7">
        <w:rPr>
          <w:rFonts w:ascii="Calibri" w:eastAsiaTheme="majorEastAsia" w:hAnsi="Calibri" w:cstheme="majorBidi"/>
          <w:szCs w:val="24"/>
        </w:rPr>
        <w:t>General rates for over 110,000 residential properties will be lower than in 2019</w:t>
      </w:r>
      <w:r w:rsidR="00C117E5" w:rsidRPr="00973AF7">
        <w:noBreakHyphen/>
      </w:r>
      <w:r w:rsidRPr="00973AF7">
        <w:rPr>
          <w:rFonts w:ascii="Calibri" w:eastAsiaTheme="majorEastAsia" w:hAnsi="Calibri" w:cstheme="majorBidi"/>
          <w:szCs w:val="24"/>
        </w:rPr>
        <w:t>20</w:t>
      </w:r>
      <w:r w:rsidR="00473880">
        <w:rPr>
          <w:rFonts w:ascii="Calibri" w:eastAsiaTheme="majorEastAsia" w:hAnsi="Calibri" w:cstheme="majorBidi"/>
          <w:szCs w:val="24"/>
        </w:rPr>
        <w:t xml:space="preserve">.  </w:t>
      </w:r>
    </w:p>
    <w:p w14:paraId="029427DD" w14:textId="77777777" w:rsidR="000013FC" w:rsidRPr="00973AF7" w:rsidRDefault="000013FC" w:rsidP="000013FC">
      <w:pPr>
        <w:pStyle w:val="Heading3"/>
        <w:rPr>
          <w:bCs/>
        </w:rPr>
      </w:pPr>
      <w:r w:rsidRPr="00973AF7">
        <w:lastRenderedPageBreak/>
        <w:t xml:space="preserve">Residential rates – delay of issuance of residential rates and land tax bills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23129850" w14:textId="77777777" w:rsidTr="00C72836">
        <w:tc>
          <w:tcPr>
            <w:tcW w:w="2510" w:type="dxa"/>
            <w:tcBorders>
              <w:bottom w:val="single" w:sz="4" w:space="0" w:color="auto"/>
            </w:tcBorders>
          </w:tcPr>
          <w:p w14:paraId="08C9FBB7" w14:textId="77777777" w:rsidR="000013FC" w:rsidRPr="00973AF7" w:rsidRDefault="000013FC" w:rsidP="00C72836">
            <w:pPr>
              <w:pStyle w:val="Initiativefigures"/>
              <w:keepNext/>
              <w:keepLines/>
            </w:pPr>
          </w:p>
        </w:tc>
        <w:tc>
          <w:tcPr>
            <w:tcW w:w="1301" w:type="dxa"/>
            <w:tcBorders>
              <w:bottom w:val="single" w:sz="4" w:space="0" w:color="auto"/>
            </w:tcBorders>
          </w:tcPr>
          <w:p w14:paraId="47CA5853" w14:textId="77777777" w:rsidR="000013FC" w:rsidRPr="00973AF7" w:rsidRDefault="000013FC" w:rsidP="00C72836">
            <w:pPr>
              <w:pStyle w:val="Initiativefigures"/>
              <w:keepNext/>
              <w:keepLines/>
            </w:pPr>
            <w:r w:rsidRPr="00973AF7">
              <w:t>2019-20</w:t>
            </w:r>
          </w:p>
          <w:p w14:paraId="38AB4581"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1D963CDC" w14:textId="77777777" w:rsidR="000013FC" w:rsidRPr="00973AF7" w:rsidRDefault="000013FC" w:rsidP="00C72836">
            <w:pPr>
              <w:pStyle w:val="Initiativefigures"/>
              <w:keepNext/>
              <w:keepLines/>
            </w:pPr>
            <w:r w:rsidRPr="00973AF7">
              <w:t>2020-21</w:t>
            </w:r>
          </w:p>
          <w:p w14:paraId="27A972FB"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2AACBD5C" w14:textId="77777777" w:rsidR="000013FC" w:rsidRPr="00973AF7" w:rsidRDefault="000013FC" w:rsidP="00C72836">
            <w:pPr>
              <w:pStyle w:val="Initiativefigures"/>
              <w:keepNext/>
              <w:keepLines/>
            </w:pPr>
            <w:r w:rsidRPr="00973AF7">
              <w:t>2021-22</w:t>
            </w:r>
          </w:p>
          <w:p w14:paraId="3FE93269"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703FC4A0" w14:textId="77777777" w:rsidR="000013FC" w:rsidRPr="00973AF7" w:rsidRDefault="000013FC" w:rsidP="00C72836">
            <w:pPr>
              <w:pStyle w:val="Initiativefigures"/>
              <w:keepNext/>
              <w:keepLines/>
            </w:pPr>
            <w:r w:rsidRPr="00973AF7">
              <w:t>2022-23</w:t>
            </w:r>
          </w:p>
          <w:p w14:paraId="59673033" w14:textId="77777777" w:rsidR="000013FC" w:rsidRPr="00973AF7" w:rsidRDefault="000013FC" w:rsidP="00C72836">
            <w:pPr>
              <w:pStyle w:val="Initiativefigures"/>
              <w:keepNext/>
              <w:keepLines/>
            </w:pPr>
            <w:r w:rsidRPr="00973AF7">
              <w:t>$’000</w:t>
            </w:r>
          </w:p>
        </w:tc>
        <w:tc>
          <w:tcPr>
            <w:tcW w:w="1302" w:type="dxa"/>
            <w:tcBorders>
              <w:bottom w:val="single" w:sz="4" w:space="0" w:color="auto"/>
            </w:tcBorders>
          </w:tcPr>
          <w:p w14:paraId="66B0FAF4" w14:textId="77777777" w:rsidR="000013FC" w:rsidRPr="00973AF7" w:rsidRDefault="000013FC" w:rsidP="00C72836">
            <w:pPr>
              <w:pStyle w:val="Initiativefigures"/>
              <w:keepNext/>
              <w:keepLines/>
              <w:rPr>
                <w:b/>
                <w:bCs/>
              </w:rPr>
            </w:pPr>
            <w:r w:rsidRPr="00973AF7">
              <w:rPr>
                <w:b/>
                <w:bCs/>
              </w:rPr>
              <w:t xml:space="preserve">Total </w:t>
            </w:r>
          </w:p>
          <w:p w14:paraId="2E984818" w14:textId="77777777" w:rsidR="000013FC" w:rsidRPr="00973AF7" w:rsidRDefault="000013FC" w:rsidP="00C72836">
            <w:pPr>
              <w:pStyle w:val="Initiativefigures"/>
              <w:keepNext/>
              <w:keepLines/>
              <w:rPr>
                <w:b/>
                <w:bCs/>
              </w:rPr>
            </w:pPr>
            <w:r w:rsidRPr="00973AF7">
              <w:rPr>
                <w:b/>
                <w:bCs/>
              </w:rPr>
              <w:t>$’000</w:t>
            </w:r>
          </w:p>
        </w:tc>
      </w:tr>
      <w:tr w:rsidR="000013FC" w:rsidRPr="00973AF7" w14:paraId="5AD2B871" w14:textId="77777777" w:rsidTr="00C72836">
        <w:tc>
          <w:tcPr>
            <w:tcW w:w="2510" w:type="dxa"/>
            <w:tcBorders>
              <w:bottom w:val="single" w:sz="4" w:space="0" w:color="auto"/>
            </w:tcBorders>
          </w:tcPr>
          <w:p w14:paraId="1B69F581" w14:textId="77777777" w:rsidR="000013FC" w:rsidRPr="00973AF7" w:rsidRDefault="000013FC" w:rsidP="00C72836">
            <w:pPr>
              <w:pStyle w:val="Initiativetext"/>
              <w:keepNext/>
              <w:keepLines/>
            </w:pPr>
            <w:r w:rsidRPr="00973AF7">
              <w:t>Expense</w:t>
            </w:r>
          </w:p>
        </w:tc>
        <w:tc>
          <w:tcPr>
            <w:tcW w:w="1301" w:type="dxa"/>
            <w:tcBorders>
              <w:bottom w:val="single" w:sz="4" w:space="0" w:color="auto"/>
            </w:tcBorders>
          </w:tcPr>
          <w:p w14:paraId="4AFC116E" w14:textId="77777777" w:rsidR="000013FC" w:rsidRPr="00973AF7" w:rsidRDefault="000013FC" w:rsidP="00C72836">
            <w:pPr>
              <w:pStyle w:val="Initiativefigures"/>
              <w:keepNext/>
              <w:keepLines/>
            </w:pPr>
            <w:r w:rsidRPr="00973AF7">
              <w:t>0</w:t>
            </w:r>
          </w:p>
        </w:tc>
        <w:tc>
          <w:tcPr>
            <w:tcW w:w="1301" w:type="dxa"/>
            <w:tcBorders>
              <w:bottom w:val="single" w:sz="4" w:space="0" w:color="auto"/>
            </w:tcBorders>
          </w:tcPr>
          <w:p w14:paraId="4335924F" w14:textId="77777777" w:rsidR="000013FC" w:rsidRPr="00973AF7" w:rsidRDefault="000013FC" w:rsidP="00C72836">
            <w:pPr>
              <w:pStyle w:val="Initiativefigures"/>
              <w:keepNext/>
              <w:keepLines/>
            </w:pPr>
            <w:r w:rsidRPr="00973AF7">
              <w:t>0</w:t>
            </w:r>
          </w:p>
        </w:tc>
        <w:tc>
          <w:tcPr>
            <w:tcW w:w="1301" w:type="dxa"/>
            <w:tcBorders>
              <w:bottom w:val="single" w:sz="4" w:space="0" w:color="auto"/>
            </w:tcBorders>
          </w:tcPr>
          <w:p w14:paraId="793AC95F" w14:textId="77777777" w:rsidR="000013FC" w:rsidRPr="00973AF7" w:rsidRDefault="000013FC" w:rsidP="00C72836">
            <w:pPr>
              <w:pStyle w:val="Initiativefigures"/>
              <w:keepNext/>
              <w:keepLines/>
            </w:pPr>
            <w:r w:rsidRPr="00973AF7">
              <w:t>0</w:t>
            </w:r>
          </w:p>
        </w:tc>
        <w:tc>
          <w:tcPr>
            <w:tcW w:w="1301" w:type="dxa"/>
            <w:tcBorders>
              <w:bottom w:val="single" w:sz="4" w:space="0" w:color="auto"/>
            </w:tcBorders>
          </w:tcPr>
          <w:p w14:paraId="5F4C3832" w14:textId="77777777" w:rsidR="000013FC" w:rsidRPr="00973AF7" w:rsidRDefault="000013FC" w:rsidP="00C72836">
            <w:pPr>
              <w:pStyle w:val="Initiativefigures"/>
              <w:keepNext/>
              <w:keepLines/>
            </w:pPr>
            <w:r w:rsidRPr="00973AF7">
              <w:t>0</w:t>
            </w:r>
          </w:p>
        </w:tc>
        <w:tc>
          <w:tcPr>
            <w:tcW w:w="1302" w:type="dxa"/>
            <w:tcBorders>
              <w:bottom w:val="single" w:sz="4" w:space="0" w:color="auto"/>
            </w:tcBorders>
          </w:tcPr>
          <w:p w14:paraId="0A14CB95" w14:textId="77777777" w:rsidR="000013FC" w:rsidRPr="00973AF7" w:rsidRDefault="000013FC" w:rsidP="00C72836">
            <w:pPr>
              <w:pStyle w:val="Initiativefigures"/>
              <w:keepNext/>
              <w:keepLines/>
              <w:rPr>
                <w:b/>
                <w:bCs/>
              </w:rPr>
            </w:pPr>
            <w:r w:rsidRPr="00973AF7">
              <w:rPr>
                <w:b/>
                <w:bCs/>
              </w:rPr>
              <w:t>0</w:t>
            </w:r>
          </w:p>
        </w:tc>
      </w:tr>
    </w:tbl>
    <w:p w14:paraId="60FAB26C" w14:textId="3F3EC212" w:rsidR="000013FC" w:rsidRPr="00973AF7" w:rsidRDefault="000013FC" w:rsidP="000013FC">
      <w:pPr>
        <w:pStyle w:val="Bbodytext"/>
        <w:keepNext/>
        <w:keepLines/>
      </w:pPr>
      <w:r w:rsidRPr="00973AF7">
        <w:t xml:space="preserve">The Government </w:t>
      </w:r>
      <w:r w:rsidR="00E24A83">
        <w:t>is</w:t>
      </w:r>
      <w:r w:rsidR="00E24A83" w:rsidRPr="00973AF7">
        <w:t xml:space="preserve"> </w:t>
      </w:r>
      <w:r w:rsidRPr="00973AF7">
        <w:t>defer</w:t>
      </w:r>
      <w:r w:rsidR="00E24A83">
        <w:t>ring</w:t>
      </w:r>
      <w:r w:rsidRPr="00973AF7">
        <w:t xml:space="preserve"> the issuing of rates notices for the fourth quarter instalments of the 2019-20 residential general rates and land tax assessments by four weeks</w:t>
      </w:r>
      <w:r w:rsidR="00473880">
        <w:t xml:space="preserve">. </w:t>
      </w:r>
      <w:r w:rsidRPr="00973AF7">
        <w:t xml:space="preserve">These will </w:t>
      </w:r>
      <w:r w:rsidR="00A72A37">
        <w:t xml:space="preserve">then </w:t>
      </w:r>
      <w:r w:rsidR="00993334">
        <w:t xml:space="preserve">be </w:t>
      </w:r>
      <w:r w:rsidRPr="00973AF7">
        <w:t xml:space="preserve">due a month later than the usual </w:t>
      </w:r>
      <w:r w:rsidR="00EF1794">
        <w:t xml:space="preserve">due </w:t>
      </w:r>
      <w:r w:rsidRPr="00973AF7">
        <w:t xml:space="preserve">date and provide </w:t>
      </w:r>
      <w:r w:rsidR="00A72A37">
        <w:t xml:space="preserve">significant </w:t>
      </w:r>
      <w:r w:rsidRPr="00973AF7">
        <w:t>immediate relief to household budgets</w:t>
      </w:r>
      <w:r w:rsidR="00473880">
        <w:t xml:space="preserve">.  </w:t>
      </w:r>
    </w:p>
    <w:p w14:paraId="3076DED2" w14:textId="7A2A66B1" w:rsidR="000013FC" w:rsidRPr="00973AF7" w:rsidRDefault="000013FC" w:rsidP="000013FC">
      <w:pPr>
        <w:pStyle w:val="Heading3"/>
      </w:pPr>
      <w:r w:rsidRPr="00973AF7">
        <w:t xml:space="preserve">Residential rates – </w:t>
      </w:r>
      <w:r>
        <w:t>e</w:t>
      </w:r>
      <w:r w:rsidRPr="00973AF7">
        <w:t xml:space="preserve">xpanding access to residential general rates hardship deferral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0776E122" w14:textId="77777777" w:rsidTr="00C72836">
        <w:tc>
          <w:tcPr>
            <w:tcW w:w="2510" w:type="dxa"/>
            <w:tcBorders>
              <w:bottom w:val="single" w:sz="4" w:space="0" w:color="auto"/>
            </w:tcBorders>
          </w:tcPr>
          <w:p w14:paraId="5B4EF894" w14:textId="77777777" w:rsidR="000013FC" w:rsidRPr="00973AF7" w:rsidRDefault="000013FC" w:rsidP="00C72836">
            <w:pPr>
              <w:pStyle w:val="Initiativefigures"/>
              <w:keepNext/>
              <w:keepLines/>
            </w:pPr>
            <w:bookmarkStart w:id="8" w:name="_Hlk40771811"/>
          </w:p>
        </w:tc>
        <w:tc>
          <w:tcPr>
            <w:tcW w:w="1301" w:type="dxa"/>
            <w:tcBorders>
              <w:bottom w:val="single" w:sz="4" w:space="0" w:color="auto"/>
            </w:tcBorders>
          </w:tcPr>
          <w:p w14:paraId="7FA31AE1" w14:textId="77777777" w:rsidR="000013FC" w:rsidRPr="00973AF7" w:rsidRDefault="000013FC" w:rsidP="00C72836">
            <w:pPr>
              <w:pStyle w:val="Initiativefigures"/>
              <w:keepNext/>
              <w:keepLines/>
            </w:pPr>
            <w:r w:rsidRPr="00973AF7">
              <w:t>2019-20</w:t>
            </w:r>
          </w:p>
          <w:p w14:paraId="2F4B3721"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738EBD89" w14:textId="77777777" w:rsidR="000013FC" w:rsidRPr="00973AF7" w:rsidRDefault="000013FC" w:rsidP="00C72836">
            <w:pPr>
              <w:pStyle w:val="Initiativefigures"/>
              <w:keepNext/>
              <w:keepLines/>
            </w:pPr>
            <w:r w:rsidRPr="00973AF7">
              <w:t>2020-21</w:t>
            </w:r>
          </w:p>
          <w:p w14:paraId="460A14B9"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0BC9E30A" w14:textId="77777777" w:rsidR="000013FC" w:rsidRPr="00973AF7" w:rsidRDefault="000013FC" w:rsidP="00C72836">
            <w:pPr>
              <w:pStyle w:val="Initiativefigures"/>
            </w:pPr>
            <w:r w:rsidRPr="00973AF7">
              <w:t>2021-22</w:t>
            </w:r>
          </w:p>
          <w:p w14:paraId="5B17A456"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35086FCE" w14:textId="77777777" w:rsidR="000013FC" w:rsidRPr="00973AF7" w:rsidRDefault="000013FC" w:rsidP="00C72836">
            <w:pPr>
              <w:pStyle w:val="Initiativefigures"/>
            </w:pPr>
            <w:r w:rsidRPr="00973AF7">
              <w:t>2022-23</w:t>
            </w:r>
          </w:p>
          <w:p w14:paraId="1FB5EF48" w14:textId="77777777" w:rsidR="000013FC" w:rsidRPr="00973AF7" w:rsidRDefault="000013FC" w:rsidP="00C72836">
            <w:pPr>
              <w:pStyle w:val="Initiativefigures"/>
              <w:keepNext/>
              <w:keepLines/>
            </w:pPr>
            <w:r w:rsidRPr="00973AF7">
              <w:t>$’000</w:t>
            </w:r>
          </w:p>
        </w:tc>
        <w:tc>
          <w:tcPr>
            <w:tcW w:w="1302" w:type="dxa"/>
            <w:tcBorders>
              <w:bottom w:val="single" w:sz="4" w:space="0" w:color="auto"/>
            </w:tcBorders>
          </w:tcPr>
          <w:p w14:paraId="21A94E89" w14:textId="77777777" w:rsidR="000013FC" w:rsidRPr="00973AF7" w:rsidRDefault="000013FC" w:rsidP="00C72836">
            <w:pPr>
              <w:pStyle w:val="Initiativefigures"/>
              <w:keepNext/>
              <w:keepLines/>
              <w:rPr>
                <w:b/>
                <w:bCs/>
              </w:rPr>
            </w:pPr>
            <w:r w:rsidRPr="00973AF7">
              <w:rPr>
                <w:b/>
                <w:bCs/>
              </w:rPr>
              <w:t xml:space="preserve">Total </w:t>
            </w:r>
          </w:p>
          <w:p w14:paraId="7736AC24" w14:textId="77777777" w:rsidR="000013FC" w:rsidRPr="00973AF7" w:rsidRDefault="000013FC" w:rsidP="00C72836">
            <w:pPr>
              <w:pStyle w:val="Initiativefigures"/>
              <w:keepNext/>
              <w:keepLines/>
              <w:rPr>
                <w:b/>
                <w:bCs/>
              </w:rPr>
            </w:pPr>
            <w:r w:rsidRPr="00973AF7">
              <w:rPr>
                <w:b/>
                <w:bCs/>
              </w:rPr>
              <w:t>$’000</w:t>
            </w:r>
          </w:p>
        </w:tc>
      </w:tr>
      <w:tr w:rsidR="000013FC" w:rsidRPr="00973AF7" w14:paraId="372B469F" w14:textId="77777777" w:rsidTr="00C72836">
        <w:tc>
          <w:tcPr>
            <w:tcW w:w="2510" w:type="dxa"/>
            <w:tcBorders>
              <w:bottom w:val="single" w:sz="4" w:space="0" w:color="auto"/>
            </w:tcBorders>
          </w:tcPr>
          <w:p w14:paraId="76A79929" w14:textId="77777777" w:rsidR="000013FC" w:rsidRPr="00973AF7" w:rsidRDefault="000013FC" w:rsidP="00C72836">
            <w:pPr>
              <w:pStyle w:val="Initiativetext"/>
              <w:keepNext/>
              <w:keepLines/>
            </w:pPr>
            <w:r w:rsidRPr="00973AF7">
              <w:t>Cash impact</w:t>
            </w:r>
          </w:p>
        </w:tc>
        <w:tc>
          <w:tcPr>
            <w:tcW w:w="1301" w:type="dxa"/>
            <w:tcBorders>
              <w:bottom w:val="single" w:sz="4" w:space="0" w:color="auto"/>
            </w:tcBorders>
          </w:tcPr>
          <w:p w14:paraId="16ABA27F" w14:textId="77777777" w:rsidR="000013FC" w:rsidRPr="00973AF7" w:rsidRDefault="000013FC" w:rsidP="00C72836">
            <w:pPr>
              <w:pStyle w:val="Initiativefigures"/>
              <w:keepNext/>
              <w:keepLines/>
            </w:pPr>
            <w:r w:rsidRPr="00973AF7">
              <w:t>~</w:t>
            </w:r>
          </w:p>
        </w:tc>
        <w:tc>
          <w:tcPr>
            <w:tcW w:w="1301" w:type="dxa"/>
            <w:tcBorders>
              <w:bottom w:val="single" w:sz="4" w:space="0" w:color="auto"/>
            </w:tcBorders>
          </w:tcPr>
          <w:p w14:paraId="5185AB7E" w14:textId="77777777" w:rsidR="000013FC" w:rsidRPr="00973AF7" w:rsidRDefault="000013FC" w:rsidP="00C72836">
            <w:pPr>
              <w:pStyle w:val="Initiativefigures"/>
              <w:keepNext/>
              <w:keepLines/>
            </w:pPr>
            <w:r w:rsidRPr="00973AF7">
              <w:t>~</w:t>
            </w:r>
          </w:p>
        </w:tc>
        <w:tc>
          <w:tcPr>
            <w:tcW w:w="1301" w:type="dxa"/>
            <w:tcBorders>
              <w:bottom w:val="single" w:sz="4" w:space="0" w:color="auto"/>
            </w:tcBorders>
          </w:tcPr>
          <w:p w14:paraId="1010D3F2" w14:textId="77777777" w:rsidR="000013FC" w:rsidRPr="00973AF7" w:rsidRDefault="000013FC" w:rsidP="00C72836">
            <w:pPr>
              <w:pStyle w:val="Initiativefigures"/>
              <w:keepNext/>
              <w:keepLines/>
            </w:pPr>
            <w:r w:rsidRPr="00973AF7">
              <w:t>0</w:t>
            </w:r>
          </w:p>
        </w:tc>
        <w:tc>
          <w:tcPr>
            <w:tcW w:w="1301" w:type="dxa"/>
            <w:tcBorders>
              <w:bottom w:val="single" w:sz="4" w:space="0" w:color="auto"/>
            </w:tcBorders>
          </w:tcPr>
          <w:p w14:paraId="709FB637" w14:textId="77777777" w:rsidR="000013FC" w:rsidRPr="00973AF7" w:rsidRDefault="000013FC" w:rsidP="00C72836">
            <w:pPr>
              <w:pStyle w:val="Initiativefigures"/>
              <w:keepNext/>
              <w:keepLines/>
            </w:pPr>
            <w:r w:rsidRPr="00973AF7">
              <w:t>0</w:t>
            </w:r>
          </w:p>
        </w:tc>
        <w:tc>
          <w:tcPr>
            <w:tcW w:w="1302" w:type="dxa"/>
            <w:tcBorders>
              <w:bottom w:val="single" w:sz="4" w:space="0" w:color="auto"/>
            </w:tcBorders>
          </w:tcPr>
          <w:p w14:paraId="3A1E4AE0" w14:textId="77777777" w:rsidR="000013FC" w:rsidRPr="00973AF7" w:rsidRDefault="000013FC" w:rsidP="00C72836">
            <w:pPr>
              <w:pStyle w:val="Initiativefigures"/>
              <w:keepNext/>
              <w:keepLines/>
              <w:rPr>
                <w:b/>
                <w:bCs/>
              </w:rPr>
            </w:pPr>
            <w:r w:rsidRPr="00973AF7">
              <w:rPr>
                <w:b/>
                <w:bCs/>
              </w:rPr>
              <w:t>~</w:t>
            </w:r>
          </w:p>
        </w:tc>
      </w:tr>
    </w:tbl>
    <w:bookmarkEnd w:id="8"/>
    <w:p w14:paraId="12411409" w14:textId="49E8F005" w:rsidR="000013FC" w:rsidRPr="00973AF7" w:rsidRDefault="000013FC" w:rsidP="000013FC">
      <w:pPr>
        <w:pStyle w:val="Bbodytext"/>
      </w:pPr>
      <w:r w:rsidRPr="00973AF7">
        <w:t xml:space="preserve">The Government </w:t>
      </w:r>
      <w:r w:rsidR="00E24A83">
        <w:t>has</w:t>
      </w:r>
      <w:r w:rsidR="00E24A83" w:rsidRPr="00973AF7">
        <w:t xml:space="preserve"> </w:t>
      </w:r>
      <w:r w:rsidRPr="00973AF7">
        <w:t>implement</w:t>
      </w:r>
      <w:r w:rsidR="00E24A83">
        <w:t>ed</w:t>
      </w:r>
      <w:r w:rsidRPr="00973AF7">
        <w:t xml:space="preserve"> a new process for rates deferrals for owner occupiers experiencing hardship because of COVID-19</w:t>
      </w:r>
      <w:r w:rsidR="00473880">
        <w:t xml:space="preserve">. </w:t>
      </w:r>
      <w:r w:rsidRPr="00973AF7">
        <w:t>No interest will apply to the deferred amount</w:t>
      </w:r>
      <w:r w:rsidR="00473880">
        <w:t xml:space="preserve">. </w:t>
      </w:r>
    </w:p>
    <w:p w14:paraId="65AA61AD" w14:textId="582DA017" w:rsidR="000013FC" w:rsidRPr="00973AF7" w:rsidRDefault="000013FC" w:rsidP="000013FC">
      <w:pPr>
        <w:pStyle w:val="Bbodytext"/>
      </w:pPr>
      <w:r w:rsidRPr="00973AF7">
        <w:t>The deferral will be for 12 months where household income has been reduced by at least 25 per cent by circumstances such as unemployment, reduction in hours of work, or a loss of small business income</w:t>
      </w:r>
      <w:r w:rsidR="00473880">
        <w:t xml:space="preserve">. </w:t>
      </w:r>
    </w:p>
    <w:p w14:paraId="547223D4" w14:textId="4AE07039" w:rsidR="000013FC" w:rsidRPr="00973AF7" w:rsidRDefault="000013FC" w:rsidP="000013FC">
      <w:pPr>
        <w:pStyle w:val="Bbodytext"/>
      </w:pPr>
      <w:r w:rsidRPr="00973AF7">
        <w:t xml:space="preserve">An application form is available on the </w:t>
      </w:r>
      <w:hyperlink r:id="rId19" w:history="1">
        <w:r w:rsidRPr="00973AF7">
          <w:rPr>
            <w:rStyle w:val="Hyperlink"/>
          </w:rPr>
          <w:t>ACT Revenue Office website</w:t>
        </w:r>
      </w:hyperlink>
      <w:r w:rsidR="00473880">
        <w:t xml:space="preserve">.  </w:t>
      </w:r>
    </w:p>
    <w:p w14:paraId="16D7693F" w14:textId="77777777" w:rsidR="000013FC" w:rsidRPr="00973AF7" w:rsidRDefault="000013FC" w:rsidP="000013FC">
      <w:pPr>
        <w:pStyle w:val="Heading3"/>
      </w:pPr>
      <w:r w:rsidRPr="00973AF7">
        <w:t>Residential stamp duty reductions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0013FC" w:rsidRPr="00973AF7" w14:paraId="5A97EE0C" w14:textId="77777777" w:rsidTr="00C72836">
        <w:tc>
          <w:tcPr>
            <w:tcW w:w="2510" w:type="dxa"/>
            <w:tcBorders>
              <w:bottom w:val="single" w:sz="4" w:space="0" w:color="auto"/>
            </w:tcBorders>
          </w:tcPr>
          <w:p w14:paraId="60ED54FA" w14:textId="77777777" w:rsidR="000013FC" w:rsidRPr="00973AF7" w:rsidRDefault="000013FC" w:rsidP="00C72836">
            <w:pPr>
              <w:pStyle w:val="Initiativefigures"/>
              <w:keepNext/>
              <w:keepLines/>
            </w:pPr>
          </w:p>
        </w:tc>
        <w:tc>
          <w:tcPr>
            <w:tcW w:w="1301" w:type="dxa"/>
            <w:tcBorders>
              <w:bottom w:val="single" w:sz="4" w:space="0" w:color="auto"/>
            </w:tcBorders>
          </w:tcPr>
          <w:p w14:paraId="0BE1D26A" w14:textId="77777777" w:rsidR="000013FC" w:rsidRPr="00973AF7" w:rsidRDefault="000013FC" w:rsidP="00C72836">
            <w:pPr>
              <w:pStyle w:val="Initiativefigures"/>
              <w:keepNext/>
              <w:keepLines/>
            </w:pPr>
            <w:r w:rsidRPr="00973AF7">
              <w:t>2019-20</w:t>
            </w:r>
          </w:p>
          <w:p w14:paraId="7151ECF2"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6EFBE1D8" w14:textId="77777777" w:rsidR="000013FC" w:rsidRPr="00973AF7" w:rsidRDefault="000013FC" w:rsidP="00C72836">
            <w:pPr>
              <w:pStyle w:val="Initiativefigures"/>
              <w:keepNext/>
              <w:keepLines/>
            </w:pPr>
            <w:r w:rsidRPr="00973AF7">
              <w:t>2020-21</w:t>
            </w:r>
          </w:p>
          <w:p w14:paraId="501404E4"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2B0C8E8C" w14:textId="77777777" w:rsidR="000013FC" w:rsidRPr="00973AF7" w:rsidRDefault="000013FC" w:rsidP="00C72836">
            <w:pPr>
              <w:pStyle w:val="Initiativefigures"/>
              <w:keepNext/>
              <w:keepLines/>
            </w:pPr>
            <w:r w:rsidRPr="00973AF7">
              <w:t>2021-22</w:t>
            </w:r>
          </w:p>
          <w:p w14:paraId="1BC56408" w14:textId="77777777" w:rsidR="000013FC" w:rsidRPr="00973AF7" w:rsidRDefault="000013FC" w:rsidP="00C72836">
            <w:pPr>
              <w:pStyle w:val="Initiativefigures"/>
              <w:keepNext/>
              <w:keepLines/>
            </w:pPr>
            <w:r w:rsidRPr="00973AF7">
              <w:t>$’000</w:t>
            </w:r>
          </w:p>
        </w:tc>
        <w:tc>
          <w:tcPr>
            <w:tcW w:w="1301" w:type="dxa"/>
            <w:tcBorders>
              <w:bottom w:val="single" w:sz="4" w:space="0" w:color="auto"/>
            </w:tcBorders>
          </w:tcPr>
          <w:p w14:paraId="7E9B5235" w14:textId="77777777" w:rsidR="000013FC" w:rsidRPr="00973AF7" w:rsidRDefault="000013FC" w:rsidP="00C72836">
            <w:pPr>
              <w:pStyle w:val="Initiativefigures"/>
              <w:keepNext/>
              <w:keepLines/>
            </w:pPr>
            <w:r w:rsidRPr="00973AF7">
              <w:t>2022-23</w:t>
            </w:r>
          </w:p>
          <w:p w14:paraId="27ADAA26" w14:textId="77777777" w:rsidR="000013FC" w:rsidRPr="00973AF7" w:rsidRDefault="000013FC" w:rsidP="00C72836">
            <w:pPr>
              <w:pStyle w:val="Initiativefigures"/>
              <w:keepNext/>
              <w:keepLines/>
            </w:pPr>
            <w:r w:rsidRPr="00973AF7">
              <w:t>$’000</w:t>
            </w:r>
          </w:p>
        </w:tc>
        <w:tc>
          <w:tcPr>
            <w:tcW w:w="1302" w:type="dxa"/>
            <w:tcBorders>
              <w:bottom w:val="single" w:sz="4" w:space="0" w:color="auto"/>
            </w:tcBorders>
          </w:tcPr>
          <w:p w14:paraId="4C65470D" w14:textId="77777777" w:rsidR="000013FC" w:rsidRPr="00973AF7" w:rsidRDefault="000013FC" w:rsidP="00C72836">
            <w:pPr>
              <w:pStyle w:val="Initiativefigures"/>
              <w:keepNext/>
              <w:keepLines/>
              <w:rPr>
                <w:b/>
                <w:bCs/>
              </w:rPr>
            </w:pPr>
            <w:r w:rsidRPr="00973AF7">
              <w:rPr>
                <w:b/>
                <w:bCs/>
              </w:rPr>
              <w:t xml:space="preserve">Total </w:t>
            </w:r>
          </w:p>
          <w:p w14:paraId="64638FFE" w14:textId="77777777" w:rsidR="000013FC" w:rsidRPr="00973AF7" w:rsidRDefault="000013FC" w:rsidP="00C72836">
            <w:pPr>
              <w:pStyle w:val="Initiativefigures"/>
              <w:keepNext/>
              <w:keepLines/>
              <w:rPr>
                <w:b/>
                <w:bCs/>
              </w:rPr>
            </w:pPr>
            <w:r w:rsidRPr="00973AF7">
              <w:rPr>
                <w:b/>
                <w:bCs/>
              </w:rPr>
              <w:t>$’000</w:t>
            </w:r>
          </w:p>
        </w:tc>
      </w:tr>
      <w:tr w:rsidR="000013FC" w:rsidRPr="00973AF7" w14:paraId="23964C8E" w14:textId="77777777" w:rsidTr="00C72836">
        <w:tc>
          <w:tcPr>
            <w:tcW w:w="2510" w:type="dxa"/>
          </w:tcPr>
          <w:p w14:paraId="119415FC" w14:textId="557EBA7F" w:rsidR="000013FC" w:rsidRPr="00973AF7" w:rsidRDefault="000013FC" w:rsidP="00C72836">
            <w:pPr>
              <w:pStyle w:val="Initiativetext"/>
              <w:keepNext/>
              <w:keepLines/>
            </w:pPr>
            <w:r w:rsidRPr="00973AF7">
              <w:t xml:space="preserve">Revenue </w:t>
            </w:r>
            <w:r w:rsidR="00473880">
              <w:t>–</w:t>
            </w:r>
            <w:r w:rsidRPr="00973AF7">
              <w:t xml:space="preserve"> d</w:t>
            </w:r>
            <w:r w:rsidRPr="00973AF7">
              <w:rPr>
                <w:color w:val="000000"/>
              </w:rPr>
              <w:t>eferred tax rate reductions</w:t>
            </w:r>
          </w:p>
        </w:tc>
        <w:tc>
          <w:tcPr>
            <w:tcW w:w="1301" w:type="dxa"/>
          </w:tcPr>
          <w:p w14:paraId="791C0CEE" w14:textId="77777777" w:rsidR="000013FC" w:rsidRPr="001A7C4E" w:rsidRDefault="000013FC" w:rsidP="00C72836">
            <w:pPr>
              <w:pStyle w:val="Initiativefigures"/>
              <w:keepNext/>
              <w:keepLines/>
            </w:pPr>
            <w:r w:rsidRPr="002A18F2">
              <w:t>0</w:t>
            </w:r>
          </w:p>
        </w:tc>
        <w:tc>
          <w:tcPr>
            <w:tcW w:w="1301" w:type="dxa"/>
          </w:tcPr>
          <w:p w14:paraId="442902FE" w14:textId="77777777" w:rsidR="000013FC" w:rsidRPr="00973AF7" w:rsidRDefault="000013FC" w:rsidP="00C72836">
            <w:pPr>
              <w:pStyle w:val="Initiativefigures"/>
              <w:keepNext/>
              <w:keepLines/>
            </w:pPr>
            <w:r w:rsidRPr="00973AF7">
              <w:t>4,000</w:t>
            </w:r>
          </w:p>
        </w:tc>
        <w:tc>
          <w:tcPr>
            <w:tcW w:w="1301" w:type="dxa"/>
          </w:tcPr>
          <w:p w14:paraId="74649FEA" w14:textId="77777777" w:rsidR="000013FC" w:rsidRPr="00973AF7" w:rsidRDefault="000013FC" w:rsidP="00C72836">
            <w:pPr>
              <w:pStyle w:val="Initiativefigures"/>
              <w:keepNext/>
              <w:keepLines/>
            </w:pPr>
            <w:r w:rsidRPr="00973AF7">
              <w:t>11,700</w:t>
            </w:r>
          </w:p>
        </w:tc>
        <w:tc>
          <w:tcPr>
            <w:tcW w:w="1301" w:type="dxa"/>
          </w:tcPr>
          <w:p w14:paraId="5357C573" w14:textId="77777777" w:rsidR="000013FC" w:rsidRPr="00973AF7" w:rsidRDefault="000013FC" w:rsidP="00C72836">
            <w:pPr>
              <w:pStyle w:val="Initiativefigures"/>
              <w:keepNext/>
              <w:keepLines/>
            </w:pPr>
            <w:r w:rsidRPr="00973AF7">
              <w:t>0</w:t>
            </w:r>
          </w:p>
        </w:tc>
        <w:tc>
          <w:tcPr>
            <w:tcW w:w="1302" w:type="dxa"/>
          </w:tcPr>
          <w:p w14:paraId="693EA6EA" w14:textId="77777777" w:rsidR="000013FC" w:rsidRPr="00973AF7" w:rsidRDefault="000013FC" w:rsidP="00C72836">
            <w:pPr>
              <w:pStyle w:val="Initiativefigures"/>
              <w:keepNext/>
              <w:keepLines/>
              <w:rPr>
                <w:b/>
                <w:bCs/>
              </w:rPr>
            </w:pPr>
            <w:r w:rsidRPr="00973AF7">
              <w:rPr>
                <w:b/>
                <w:bCs/>
              </w:rPr>
              <w:t>15,700</w:t>
            </w:r>
          </w:p>
        </w:tc>
      </w:tr>
      <w:tr w:rsidR="000013FC" w:rsidRPr="00973AF7" w14:paraId="6B6874FB" w14:textId="77777777" w:rsidTr="00C72836">
        <w:tc>
          <w:tcPr>
            <w:tcW w:w="2510" w:type="dxa"/>
          </w:tcPr>
          <w:p w14:paraId="5803AC7D" w14:textId="267515B4" w:rsidR="000013FC" w:rsidRPr="00973AF7" w:rsidRDefault="000013FC" w:rsidP="00C72836">
            <w:pPr>
              <w:pStyle w:val="Initiativetext"/>
              <w:keepNext/>
              <w:keepLines/>
            </w:pPr>
            <w:r w:rsidRPr="00973AF7">
              <w:t xml:space="preserve">Revenue </w:t>
            </w:r>
            <w:r w:rsidR="00473880">
              <w:t>–</w:t>
            </w:r>
            <w:r w:rsidRPr="00973AF7">
              <w:t xml:space="preserve"> o</w:t>
            </w:r>
            <w:r w:rsidRPr="00973AF7">
              <w:rPr>
                <w:color w:val="000000"/>
              </w:rPr>
              <w:t xml:space="preserve">wner </w:t>
            </w:r>
            <w:proofErr w:type="spellStart"/>
            <w:r w:rsidRPr="00973AF7">
              <w:rPr>
                <w:color w:val="000000"/>
              </w:rPr>
              <w:t>occupier</w:t>
            </w:r>
            <w:proofErr w:type="spellEnd"/>
            <w:r w:rsidRPr="00973AF7">
              <w:rPr>
                <w:color w:val="000000"/>
              </w:rPr>
              <w:t xml:space="preserve"> land and off-the-plan unit concessions</w:t>
            </w:r>
          </w:p>
        </w:tc>
        <w:tc>
          <w:tcPr>
            <w:tcW w:w="1301" w:type="dxa"/>
          </w:tcPr>
          <w:p w14:paraId="1FFD2D80" w14:textId="77777777" w:rsidR="000013FC" w:rsidRPr="001A7C4E" w:rsidRDefault="000013FC" w:rsidP="00C72836">
            <w:pPr>
              <w:pStyle w:val="Initiativefigures"/>
              <w:keepNext/>
              <w:keepLines/>
            </w:pPr>
            <w:r w:rsidRPr="002A18F2">
              <w:t>0</w:t>
            </w:r>
          </w:p>
        </w:tc>
        <w:tc>
          <w:tcPr>
            <w:tcW w:w="1301" w:type="dxa"/>
          </w:tcPr>
          <w:p w14:paraId="4EC7452A" w14:textId="77777777" w:rsidR="000013FC" w:rsidRPr="00973AF7" w:rsidRDefault="000013FC" w:rsidP="00C72836">
            <w:pPr>
              <w:pStyle w:val="Initiativefigures"/>
              <w:keepNext/>
              <w:keepLines/>
            </w:pPr>
            <w:r w:rsidRPr="00973AF7">
              <w:t>-11,300</w:t>
            </w:r>
          </w:p>
        </w:tc>
        <w:tc>
          <w:tcPr>
            <w:tcW w:w="1301" w:type="dxa"/>
          </w:tcPr>
          <w:p w14:paraId="4DB548E7" w14:textId="77777777" w:rsidR="000013FC" w:rsidRPr="00973AF7" w:rsidRDefault="000013FC" w:rsidP="00C72836">
            <w:pPr>
              <w:pStyle w:val="Initiativefigures"/>
              <w:keepNext/>
              <w:keepLines/>
            </w:pPr>
            <w:r w:rsidRPr="00973AF7">
              <w:t>0</w:t>
            </w:r>
          </w:p>
        </w:tc>
        <w:tc>
          <w:tcPr>
            <w:tcW w:w="1301" w:type="dxa"/>
          </w:tcPr>
          <w:p w14:paraId="3EBAAE4B" w14:textId="77777777" w:rsidR="000013FC" w:rsidRPr="00973AF7" w:rsidRDefault="000013FC" w:rsidP="00C72836">
            <w:pPr>
              <w:pStyle w:val="Initiativefigures"/>
              <w:keepNext/>
              <w:keepLines/>
            </w:pPr>
            <w:r w:rsidRPr="00973AF7">
              <w:t>0</w:t>
            </w:r>
          </w:p>
        </w:tc>
        <w:tc>
          <w:tcPr>
            <w:tcW w:w="1302" w:type="dxa"/>
          </w:tcPr>
          <w:p w14:paraId="1ABD4E10" w14:textId="77777777" w:rsidR="000013FC" w:rsidRPr="00973AF7" w:rsidRDefault="000013FC" w:rsidP="00C72836">
            <w:pPr>
              <w:pStyle w:val="Initiativefigures"/>
              <w:keepNext/>
              <w:keepLines/>
              <w:rPr>
                <w:b/>
                <w:bCs/>
              </w:rPr>
            </w:pPr>
            <w:r w:rsidRPr="00973AF7">
              <w:rPr>
                <w:b/>
                <w:bCs/>
              </w:rPr>
              <w:t>-11,300</w:t>
            </w:r>
          </w:p>
        </w:tc>
      </w:tr>
      <w:tr w:rsidR="000013FC" w:rsidRPr="00973AF7" w14:paraId="42E5A0ED" w14:textId="77777777" w:rsidTr="00C72836">
        <w:tc>
          <w:tcPr>
            <w:tcW w:w="2510" w:type="dxa"/>
            <w:tcBorders>
              <w:bottom w:val="single" w:sz="4" w:space="0" w:color="auto"/>
            </w:tcBorders>
          </w:tcPr>
          <w:p w14:paraId="215CB1BA" w14:textId="77777777" w:rsidR="000013FC" w:rsidRPr="00973AF7" w:rsidRDefault="000013FC" w:rsidP="00C72836">
            <w:pPr>
              <w:pStyle w:val="Initiativetext"/>
              <w:keepNext/>
              <w:keepLines/>
            </w:pPr>
            <w:r w:rsidRPr="00973AF7">
              <w:t>Revenue total</w:t>
            </w:r>
          </w:p>
        </w:tc>
        <w:tc>
          <w:tcPr>
            <w:tcW w:w="1301" w:type="dxa"/>
            <w:tcBorders>
              <w:bottom w:val="single" w:sz="4" w:space="0" w:color="auto"/>
            </w:tcBorders>
          </w:tcPr>
          <w:p w14:paraId="7C1AFFD0" w14:textId="77777777" w:rsidR="000013FC" w:rsidRPr="001A7C4E" w:rsidRDefault="000013FC" w:rsidP="00C72836">
            <w:pPr>
              <w:pStyle w:val="Initiativefigures"/>
              <w:keepNext/>
              <w:keepLines/>
            </w:pPr>
            <w:r w:rsidRPr="002A18F2">
              <w:t>0</w:t>
            </w:r>
          </w:p>
        </w:tc>
        <w:tc>
          <w:tcPr>
            <w:tcW w:w="1301" w:type="dxa"/>
            <w:tcBorders>
              <w:bottom w:val="single" w:sz="4" w:space="0" w:color="auto"/>
            </w:tcBorders>
          </w:tcPr>
          <w:p w14:paraId="32D4C733" w14:textId="77777777" w:rsidR="000013FC" w:rsidRPr="00973AF7" w:rsidRDefault="000013FC" w:rsidP="00C72836">
            <w:pPr>
              <w:pStyle w:val="Initiativefigures"/>
              <w:keepNext/>
              <w:keepLines/>
            </w:pPr>
            <w:r w:rsidRPr="00973AF7">
              <w:t>-7,300</w:t>
            </w:r>
          </w:p>
        </w:tc>
        <w:tc>
          <w:tcPr>
            <w:tcW w:w="1301" w:type="dxa"/>
            <w:tcBorders>
              <w:bottom w:val="single" w:sz="4" w:space="0" w:color="auto"/>
            </w:tcBorders>
          </w:tcPr>
          <w:p w14:paraId="27EAB417" w14:textId="77777777" w:rsidR="000013FC" w:rsidRPr="00973AF7" w:rsidRDefault="000013FC" w:rsidP="00C72836">
            <w:pPr>
              <w:pStyle w:val="Initiativefigures"/>
              <w:keepNext/>
              <w:keepLines/>
            </w:pPr>
            <w:r w:rsidRPr="00973AF7">
              <w:t>11,700</w:t>
            </w:r>
          </w:p>
        </w:tc>
        <w:tc>
          <w:tcPr>
            <w:tcW w:w="1301" w:type="dxa"/>
            <w:tcBorders>
              <w:bottom w:val="single" w:sz="4" w:space="0" w:color="auto"/>
            </w:tcBorders>
          </w:tcPr>
          <w:p w14:paraId="720B918C" w14:textId="77777777" w:rsidR="000013FC" w:rsidRPr="00973AF7" w:rsidRDefault="000013FC" w:rsidP="00C72836">
            <w:pPr>
              <w:pStyle w:val="Initiativefigures"/>
              <w:keepNext/>
              <w:keepLines/>
            </w:pPr>
            <w:r w:rsidRPr="00973AF7">
              <w:t>0</w:t>
            </w:r>
          </w:p>
        </w:tc>
        <w:tc>
          <w:tcPr>
            <w:tcW w:w="1302" w:type="dxa"/>
            <w:tcBorders>
              <w:bottom w:val="single" w:sz="4" w:space="0" w:color="auto"/>
            </w:tcBorders>
          </w:tcPr>
          <w:p w14:paraId="40DB94BB" w14:textId="77777777" w:rsidR="000013FC" w:rsidRPr="00973AF7" w:rsidRDefault="000013FC" w:rsidP="00C72836">
            <w:pPr>
              <w:pStyle w:val="Initiativefigures"/>
              <w:keepNext/>
              <w:keepLines/>
              <w:rPr>
                <w:b/>
                <w:bCs/>
              </w:rPr>
            </w:pPr>
            <w:r w:rsidRPr="00973AF7">
              <w:rPr>
                <w:b/>
                <w:bCs/>
              </w:rPr>
              <w:t>4,400</w:t>
            </w:r>
          </w:p>
        </w:tc>
      </w:tr>
    </w:tbl>
    <w:p w14:paraId="7E5B7983" w14:textId="5AF863F4" w:rsidR="000013FC" w:rsidRPr="00973AF7" w:rsidRDefault="000013FC" w:rsidP="000013FC">
      <w:pPr>
        <w:pStyle w:val="Bbodytext"/>
        <w:keepNext/>
        <w:keepLines/>
      </w:pPr>
      <w:r w:rsidRPr="00973AF7">
        <w:t xml:space="preserve">The Government </w:t>
      </w:r>
      <w:r w:rsidR="00E24A83">
        <w:t>has</w:t>
      </w:r>
      <w:r w:rsidR="00E24A83" w:rsidRPr="00973AF7">
        <w:t xml:space="preserve"> </w:t>
      </w:r>
      <w:r w:rsidR="00A72A37">
        <w:t xml:space="preserve">significantly </w:t>
      </w:r>
      <w:r w:rsidRPr="00973AF7">
        <w:t>reduce</w:t>
      </w:r>
      <w:r w:rsidR="00E24A83">
        <w:t>d</w:t>
      </w:r>
      <w:r w:rsidRPr="00973AF7">
        <w:t xml:space="preserve"> stamp duty for </w:t>
      </w:r>
      <w:r w:rsidR="00A72A37">
        <w:t>eligible owner occupier home buyers</w:t>
      </w:r>
      <w:r w:rsidR="00E24A83">
        <w:t xml:space="preserve"> until 30 June 2021</w:t>
      </w:r>
      <w:r w:rsidR="00473880">
        <w:t xml:space="preserve">. </w:t>
      </w:r>
      <w:r w:rsidRPr="00973AF7">
        <w:t>This will save new home buyers thousands of dollars</w:t>
      </w:r>
      <w:r w:rsidR="00473880">
        <w:t xml:space="preserve">. </w:t>
      </w:r>
      <w:r w:rsidRPr="00973AF7">
        <w:t>This initiative will generate more work for the local construction industry and create more jobs</w:t>
      </w:r>
      <w:r w:rsidR="00473880">
        <w:t xml:space="preserve">. </w:t>
      </w:r>
    </w:p>
    <w:p w14:paraId="1651997E" w14:textId="745D3415" w:rsidR="000013FC" w:rsidRPr="00973AF7" w:rsidRDefault="000013FC" w:rsidP="000013FC">
      <w:pPr>
        <w:rPr>
          <w:sz w:val="24"/>
        </w:rPr>
      </w:pPr>
      <w:r w:rsidRPr="00973AF7">
        <w:rPr>
          <w:sz w:val="24"/>
        </w:rPr>
        <w:t xml:space="preserve">The following concessions apply to contracts exchanged </w:t>
      </w:r>
      <w:r w:rsidRPr="009C357F">
        <w:rPr>
          <w:sz w:val="24"/>
        </w:rPr>
        <w:t>between 4 June 2020 and</w:t>
      </w:r>
      <w:r w:rsidRPr="00973AF7">
        <w:rPr>
          <w:sz w:val="24"/>
        </w:rPr>
        <w:t xml:space="preserve"> 30 June</w:t>
      </w:r>
      <w:r w:rsidR="009C357F">
        <w:rPr>
          <w:sz w:val="24"/>
        </w:rPr>
        <w:t> </w:t>
      </w:r>
      <w:r w:rsidRPr="00973AF7">
        <w:rPr>
          <w:sz w:val="24"/>
        </w:rPr>
        <w:t xml:space="preserve">2021: </w:t>
      </w:r>
    </w:p>
    <w:p w14:paraId="537A36D6" w14:textId="77777777" w:rsidR="000013FC" w:rsidRPr="00973AF7" w:rsidRDefault="000013FC" w:rsidP="000013FC">
      <w:pPr>
        <w:pStyle w:val="ListParagraph"/>
        <w:numPr>
          <w:ilvl w:val="0"/>
          <w:numId w:val="21"/>
        </w:numPr>
        <w:rPr>
          <w:sz w:val="24"/>
        </w:rPr>
      </w:pPr>
      <w:r w:rsidRPr="00973AF7">
        <w:rPr>
          <w:sz w:val="24"/>
        </w:rPr>
        <w:t xml:space="preserve">No stamp duty on single residential dwelling blocks </w:t>
      </w:r>
    </w:p>
    <w:p w14:paraId="12969533" w14:textId="77777777" w:rsidR="000013FC" w:rsidRPr="00973AF7" w:rsidRDefault="000013FC" w:rsidP="000013FC">
      <w:pPr>
        <w:pStyle w:val="ListParagraph"/>
        <w:numPr>
          <w:ilvl w:val="0"/>
          <w:numId w:val="21"/>
        </w:numPr>
        <w:rPr>
          <w:sz w:val="24"/>
        </w:rPr>
      </w:pPr>
      <w:r w:rsidRPr="00973AF7">
        <w:rPr>
          <w:sz w:val="24"/>
        </w:rPr>
        <w:t xml:space="preserve">No stamp duty on off-the-plan unit (unit-titled apartment and townhouses) purchases up to $500,000 </w:t>
      </w:r>
    </w:p>
    <w:p w14:paraId="35E676C2" w14:textId="77777777" w:rsidR="000013FC" w:rsidRPr="00973AF7" w:rsidRDefault="000013FC" w:rsidP="000013FC">
      <w:pPr>
        <w:pStyle w:val="ListParagraph"/>
        <w:numPr>
          <w:ilvl w:val="0"/>
          <w:numId w:val="21"/>
        </w:numPr>
        <w:rPr>
          <w:sz w:val="24"/>
        </w:rPr>
      </w:pPr>
      <w:r w:rsidRPr="00973AF7">
        <w:rPr>
          <w:sz w:val="24"/>
        </w:rPr>
        <w:lastRenderedPageBreak/>
        <w:t xml:space="preserve">An $11,400 stamp duty reduction for off-the-plan unit (unit-titled apartment and townhouses) purchases between $500,000 and $750,000 </w:t>
      </w:r>
    </w:p>
    <w:p w14:paraId="6566B0EA" w14:textId="0C3D91AD" w:rsidR="000013FC" w:rsidRPr="00973AF7" w:rsidRDefault="000013FC" w:rsidP="000013FC">
      <w:pPr>
        <w:rPr>
          <w:sz w:val="24"/>
        </w:rPr>
      </w:pPr>
      <w:r w:rsidRPr="00973AF7">
        <w:rPr>
          <w:sz w:val="24"/>
        </w:rPr>
        <w:t>The Government will delay the previously announced reductions to residential stamp duty tax rates in 2020-21 by one year</w:t>
      </w:r>
      <w:r w:rsidR="00473880">
        <w:rPr>
          <w:sz w:val="24"/>
        </w:rPr>
        <w:t xml:space="preserve">. </w:t>
      </w:r>
    </w:p>
    <w:p w14:paraId="64A8B1C3" w14:textId="64D108DF" w:rsidR="00D12919" w:rsidRPr="00973AF7" w:rsidRDefault="0028169D" w:rsidP="000373C6">
      <w:pPr>
        <w:pStyle w:val="Heading3"/>
      </w:pPr>
      <w:r w:rsidRPr="00973AF7">
        <w:t>Residential tenancy relief</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49122C" w:rsidRPr="00973AF7" w14:paraId="4AEEDA64" w14:textId="77777777" w:rsidTr="00973AF7">
        <w:tc>
          <w:tcPr>
            <w:tcW w:w="2510" w:type="dxa"/>
            <w:tcBorders>
              <w:bottom w:val="single" w:sz="4" w:space="0" w:color="auto"/>
            </w:tcBorders>
            <w:shd w:val="clear" w:color="auto" w:fill="auto"/>
          </w:tcPr>
          <w:p w14:paraId="36B86693" w14:textId="77777777" w:rsidR="0049122C" w:rsidRPr="00973AF7" w:rsidRDefault="0049122C" w:rsidP="000373C6">
            <w:pPr>
              <w:pStyle w:val="Initiativefigures"/>
            </w:pPr>
          </w:p>
        </w:tc>
        <w:tc>
          <w:tcPr>
            <w:tcW w:w="1301" w:type="dxa"/>
            <w:tcBorders>
              <w:bottom w:val="single" w:sz="4" w:space="0" w:color="auto"/>
            </w:tcBorders>
            <w:shd w:val="clear" w:color="auto" w:fill="auto"/>
          </w:tcPr>
          <w:p w14:paraId="5B43DBFC" w14:textId="77777777" w:rsidR="0049122C" w:rsidRPr="00973AF7" w:rsidRDefault="0049122C" w:rsidP="000373C6">
            <w:pPr>
              <w:pStyle w:val="Initiativefigures"/>
            </w:pPr>
            <w:r w:rsidRPr="00973AF7">
              <w:t>2019-20</w:t>
            </w:r>
          </w:p>
          <w:p w14:paraId="555B306E" w14:textId="77777777" w:rsidR="0049122C" w:rsidRPr="00973AF7" w:rsidRDefault="0049122C" w:rsidP="000373C6">
            <w:pPr>
              <w:pStyle w:val="Initiativefigures"/>
            </w:pPr>
            <w:r w:rsidRPr="00973AF7">
              <w:t>$’000</w:t>
            </w:r>
          </w:p>
        </w:tc>
        <w:tc>
          <w:tcPr>
            <w:tcW w:w="1301" w:type="dxa"/>
            <w:tcBorders>
              <w:bottom w:val="single" w:sz="4" w:space="0" w:color="auto"/>
            </w:tcBorders>
            <w:shd w:val="clear" w:color="auto" w:fill="auto"/>
          </w:tcPr>
          <w:p w14:paraId="265DDCA8" w14:textId="77777777" w:rsidR="0049122C" w:rsidRPr="00973AF7" w:rsidRDefault="0049122C" w:rsidP="000373C6">
            <w:pPr>
              <w:pStyle w:val="Initiativefigures"/>
            </w:pPr>
            <w:r w:rsidRPr="00973AF7">
              <w:t>2020-21</w:t>
            </w:r>
          </w:p>
          <w:p w14:paraId="79E6D3B2" w14:textId="77777777" w:rsidR="0049122C" w:rsidRPr="00973AF7" w:rsidRDefault="0049122C" w:rsidP="000373C6">
            <w:pPr>
              <w:pStyle w:val="Initiativefigures"/>
            </w:pPr>
            <w:r w:rsidRPr="00973AF7">
              <w:t>$’000</w:t>
            </w:r>
          </w:p>
        </w:tc>
        <w:tc>
          <w:tcPr>
            <w:tcW w:w="1301" w:type="dxa"/>
            <w:tcBorders>
              <w:bottom w:val="single" w:sz="4" w:space="0" w:color="auto"/>
            </w:tcBorders>
            <w:shd w:val="clear" w:color="auto" w:fill="auto"/>
          </w:tcPr>
          <w:p w14:paraId="3C0F526C" w14:textId="77777777" w:rsidR="0049122C" w:rsidRPr="00973AF7" w:rsidRDefault="0049122C" w:rsidP="000373C6">
            <w:pPr>
              <w:pStyle w:val="Initiativefigures"/>
            </w:pPr>
            <w:r w:rsidRPr="00973AF7">
              <w:t>2021-22</w:t>
            </w:r>
          </w:p>
          <w:p w14:paraId="6A6CCE98" w14:textId="32D9C8CF" w:rsidR="0049122C" w:rsidRPr="00973AF7" w:rsidRDefault="0049122C" w:rsidP="000373C6">
            <w:pPr>
              <w:pStyle w:val="Initiativefigures"/>
            </w:pPr>
            <w:r w:rsidRPr="00973AF7">
              <w:t>$’000</w:t>
            </w:r>
          </w:p>
        </w:tc>
        <w:tc>
          <w:tcPr>
            <w:tcW w:w="1301" w:type="dxa"/>
            <w:tcBorders>
              <w:bottom w:val="single" w:sz="4" w:space="0" w:color="auto"/>
            </w:tcBorders>
            <w:shd w:val="clear" w:color="auto" w:fill="auto"/>
          </w:tcPr>
          <w:p w14:paraId="6A2EA2C5" w14:textId="77777777" w:rsidR="0049122C" w:rsidRPr="00973AF7" w:rsidRDefault="0049122C" w:rsidP="000373C6">
            <w:pPr>
              <w:pStyle w:val="Initiativefigures"/>
            </w:pPr>
            <w:r w:rsidRPr="00973AF7">
              <w:t>2022-23</w:t>
            </w:r>
          </w:p>
          <w:p w14:paraId="5C272A09" w14:textId="1A274732" w:rsidR="0049122C" w:rsidRPr="00973AF7" w:rsidRDefault="0049122C" w:rsidP="000373C6">
            <w:pPr>
              <w:pStyle w:val="Initiativefigures"/>
            </w:pPr>
            <w:r w:rsidRPr="00973AF7">
              <w:t>$’000</w:t>
            </w:r>
          </w:p>
        </w:tc>
        <w:tc>
          <w:tcPr>
            <w:tcW w:w="1302" w:type="dxa"/>
            <w:tcBorders>
              <w:bottom w:val="single" w:sz="4" w:space="0" w:color="auto"/>
            </w:tcBorders>
            <w:shd w:val="clear" w:color="auto" w:fill="auto"/>
          </w:tcPr>
          <w:p w14:paraId="658478DA" w14:textId="77777777" w:rsidR="0049122C" w:rsidRPr="00973AF7" w:rsidRDefault="0049122C" w:rsidP="000373C6">
            <w:pPr>
              <w:pStyle w:val="Initiativefigures"/>
              <w:rPr>
                <w:b/>
                <w:bCs/>
              </w:rPr>
            </w:pPr>
            <w:r w:rsidRPr="00973AF7">
              <w:rPr>
                <w:b/>
                <w:bCs/>
              </w:rPr>
              <w:t xml:space="preserve">Total </w:t>
            </w:r>
          </w:p>
          <w:p w14:paraId="261D3E61" w14:textId="77777777" w:rsidR="0049122C" w:rsidRPr="00973AF7" w:rsidRDefault="0049122C" w:rsidP="000373C6">
            <w:pPr>
              <w:pStyle w:val="Initiativefigures"/>
              <w:rPr>
                <w:b/>
                <w:bCs/>
              </w:rPr>
            </w:pPr>
            <w:r w:rsidRPr="00973AF7">
              <w:rPr>
                <w:b/>
                <w:bCs/>
              </w:rPr>
              <w:t>$’000</w:t>
            </w:r>
          </w:p>
        </w:tc>
      </w:tr>
      <w:tr w:rsidR="00D12919" w:rsidRPr="00973AF7" w14:paraId="6DBC7D02" w14:textId="77777777" w:rsidTr="00973AF7">
        <w:tc>
          <w:tcPr>
            <w:tcW w:w="2510" w:type="dxa"/>
            <w:tcBorders>
              <w:bottom w:val="single" w:sz="4" w:space="0" w:color="auto"/>
            </w:tcBorders>
            <w:shd w:val="clear" w:color="auto" w:fill="auto"/>
          </w:tcPr>
          <w:p w14:paraId="483D0F49" w14:textId="6B5F9DE9" w:rsidR="00D12919" w:rsidRPr="00973AF7" w:rsidRDefault="000373C6" w:rsidP="000373C6">
            <w:pPr>
              <w:pStyle w:val="Initiativetext"/>
            </w:pPr>
            <w:r w:rsidRPr="00973AF7">
              <w:t>Revenue forgone</w:t>
            </w:r>
          </w:p>
        </w:tc>
        <w:tc>
          <w:tcPr>
            <w:tcW w:w="1301" w:type="dxa"/>
            <w:tcBorders>
              <w:bottom w:val="single" w:sz="4" w:space="0" w:color="auto"/>
            </w:tcBorders>
            <w:shd w:val="clear" w:color="auto" w:fill="auto"/>
          </w:tcPr>
          <w:p w14:paraId="69803F01" w14:textId="33574C1B" w:rsidR="00D12919" w:rsidRPr="00973AF7" w:rsidRDefault="00821CA5" w:rsidP="000373C6">
            <w:pPr>
              <w:pStyle w:val="Initiativefigures"/>
            </w:pPr>
            <w:r w:rsidRPr="00973AF7">
              <w:t>3</w:t>
            </w:r>
            <w:r w:rsidR="0028169D" w:rsidRPr="00973AF7">
              <w:t>,500</w:t>
            </w:r>
          </w:p>
        </w:tc>
        <w:tc>
          <w:tcPr>
            <w:tcW w:w="1301" w:type="dxa"/>
            <w:tcBorders>
              <w:bottom w:val="single" w:sz="4" w:space="0" w:color="auto"/>
            </w:tcBorders>
            <w:shd w:val="clear" w:color="auto" w:fill="auto"/>
          </w:tcPr>
          <w:p w14:paraId="77FE013F" w14:textId="370F7044" w:rsidR="00D12919" w:rsidRPr="00973AF7" w:rsidRDefault="00821CA5" w:rsidP="000373C6">
            <w:pPr>
              <w:pStyle w:val="Initiativefigures"/>
            </w:pPr>
            <w:r w:rsidRPr="00973AF7">
              <w:t>3</w:t>
            </w:r>
            <w:r w:rsidR="0028169D" w:rsidRPr="00973AF7">
              <w:t>,500</w:t>
            </w:r>
          </w:p>
        </w:tc>
        <w:tc>
          <w:tcPr>
            <w:tcW w:w="1301" w:type="dxa"/>
            <w:tcBorders>
              <w:bottom w:val="single" w:sz="4" w:space="0" w:color="auto"/>
            </w:tcBorders>
            <w:shd w:val="clear" w:color="auto" w:fill="auto"/>
          </w:tcPr>
          <w:p w14:paraId="6682BFB3" w14:textId="5FB5605C" w:rsidR="00D12919" w:rsidRPr="00973AF7" w:rsidRDefault="0028169D" w:rsidP="000373C6">
            <w:pPr>
              <w:pStyle w:val="Initiativefigures"/>
            </w:pPr>
            <w:r w:rsidRPr="00973AF7">
              <w:t>0</w:t>
            </w:r>
          </w:p>
        </w:tc>
        <w:tc>
          <w:tcPr>
            <w:tcW w:w="1301" w:type="dxa"/>
            <w:tcBorders>
              <w:bottom w:val="single" w:sz="4" w:space="0" w:color="auto"/>
            </w:tcBorders>
            <w:shd w:val="clear" w:color="auto" w:fill="auto"/>
          </w:tcPr>
          <w:p w14:paraId="410132EF" w14:textId="4C3E9D7C" w:rsidR="00D12919" w:rsidRPr="00973AF7" w:rsidRDefault="0028169D" w:rsidP="000373C6">
            <w:pPr>
              <w:pStyle w:val="Initiativefigures"/>
            </w:pPr>
            <w:r w:rsidRPr="00973AF7">
              <w:t>0</w:t>
            </w:r>
          </w:p>
        </w:tc>
        <w:tc>
          <w:tcPr>
            <w:tcW w:w="1302" w:type="dxa"/>
            <w:tcBorders>
              <w:bottom w:val="single" w:sz="4" w:space="0" w:color="auto"/>
            </w:tcBorders>
            <w:shd w:val="clear" w:color="auto" w:fill="auto"/>
          </w:tcPr>
          <w:p w14:paraId="660BCCCB" w14:textId="6652ACFA" w:rsidR="00D12919" w:rsidRPr="00973AF7" w:rsidRDefault="00821CA5" w:rsidP="000373C6">
            <w:pPr>
              <w:pStyle w:val="Initiativefigures"/>
              <w:rPr>
                <w:b/>
                <w:bCs/>
              </w:rPr>
            </w:pPr>
            <w:r w:rsidRPr="00973AF7">
              <w:rPr>
                <w:b/>
                <w:bCs/>
              </w:rPr>
              <w:t>7</w:t>
            </w:r>
            <w:r w:rsidR="0028169D" w:rsidRPr="00973AF7">
              <w:rPr>
                <w:b/>
                <w:bCs/>
              </w:rPr>
              <w:t>,000</w:t>
            </w:r>
          </w:p>
        </w:tc>
      </w:tr>
    </w:tbl>
    <w:p w14:paraId="6292E7EA" w14:textId="0EB52B44" w:rsidR="00D12919" w:rsidRPr="00973AF7" w:rsidRDefault="00D12919" w:rsidP="000373C6">
      <w:pPr>
        <w:pStyle w:val="Bbodytext"/>
      </w:pPr>
      <w:r w:rsidRPr="00973AF7">
        <w:t xml:space="preserve">The Government </w:t>
      </w:r>
      <w:r w:rsidR="00E24A83">
        <w:t>is</w:t>
      </w:r>
      <w:r w:rsidR="00E24A83" w:rsidRPr="00973AF7">
        <w:t xml:space="preserve"> </w:t>
      </w:r>
      <w:r w:rsidRPr="00973AF7">
        <w:t>provid</w:t>
      </w:r>
      <w:r w:rsidR="00E24A83">
        <w:t>ing</w:t>
      </w:r>
      <w:r w:rsidRPr="00973AF7">
        <w:t xml:space="preserve"> a land tax and rates rebate to residential landlords who reduce rents by at least 25 per cent for tenants who have been impacted by COVID-19</w:t>
      </w:r>
      <w:r w:rsidR="00473880">
        <w:t xml:space="preserve">.  </w:t>
      </w:r>
    </w:p>
    <w:p w14:paraId="4AF19A7A" w14:textId="4BB24BC0" w:rsidR="00D12919" w:rsidRPr="00973AF7" w:rsidRDefault="00D12919" w:rsidP="000373C6">
      <w:pPr>
        <w:pStyle w:val="Bbodytext"/>
      </w:pPr>
      <w:r w:rsidRPr="00973AF7">
        <w:t>The rebate will be equal to 50 per cent of the rent reduction, up to $1,300 per quarter (around $100 per week), for up to six months</w:t>
      </w:r>
      <w:r w:rsidR="00473880">
        <w:t xml:space="preserve">. </w:t>
      </w:r>
      <w:r w:rsidRPr="00973AF7">
        <w:t>This will provide rent relief to impacted tenants of up to $200 per week</w:t>
      </w:r>
      <w:r w:rsidR="00473880">
        <w:t xml:space="preserve">. </w:t>
      </w:r>
    </w:p>
    <w:p w14:paraId="35C918FC" w14:textId="57497F22" w:rsidR="00E156C8" w:rsidRPr="00973AF7" w:rsidRDefault="005A3720" w:rsidP="000373C6">
      <w:pPr>
        <w:pStyle w:val="Bbodytext"/>
      </w:pPr>
      <w:r w:rsidRPr="00973AF7">
        <w:t>This estimate has been revised down from the original</w:t>
      </w:r>
      <w:r w:rsidR="005E2756" w:rsidRPr="00973AF7">
        <w:t xml:space="preserve"> estimate</w:t>
      </w:r>
      <w:r w:rsidRPr="00973AF7">
        <w:t xml:space="preserve">, due to </w:t>
      </w:r>
      <w:r w:rsidR="00A72A37">
        <w:t xml:space="preserve">initial </w:t>
      </w:r>
      <w:r w:rsidRPr="00973AF7">
        <w:t>take-up being lower than originally anticipated</w:t>
      </w:r>
      <w:r w:rsidR="00473880">
        <w:t xml:space="preserve">. </w:t>
      </w:r>
      <w:r w:rsidR="00E156C8" w:rsidRPr="00973AF7">
        <w:t xml:space="preserve">The </w:t>
      </w:r>
      <w:r w:rsidR="00280816" w:rsidRPr="00973AF7">
        <w:t>final</w:t>
      </w:r>
      <w:r w:rsidR="00E156C8" w:rsidRPr="00973AF7">
        <w:t xml:space="preserve"> cost of this initiative will </w:t>
      </w:r>
      <w:r w:rsidR="000D13EE" w:rsidRPr="00973AF7">
        <w:t>depend on the</w:t>
      </w:r>
      <w:r w:rsidR="00E156C8" w:rsidRPr="00973AF7">
        <w:t xml:space="preserve"> </w:t>
      </w:r>
      <w:r w:rsidR="00A72A37">
        <w:t xml:space="preserve">final </w:t>
      </w:r>
      <w:r w:rsidR="00E156C8" w:rsidRPr="00973AF7">
        <w:t>take-up rates</w:t>
      </w:r>
      <w:r w:rsidR="00473880">
        <w:t xml:space="preserve">. </w:t>
      </w:r>
      <w:r w:rsidR="00CC06A2" w:rsidRPr="00973AF7">
        <w:t xml:space="preserve">The Government has </w:t>
      </w:r>
      <w:r w:rsidR="00A72A37">
        <w:t>confirmed</w:t>
      </w:r>
      <w:r w:rsidR="00A72A37" w:rsidRPr="00973AF7">
        <w:t xml:space="preserve"> </w:t>
      </w:r>
      <w:r w:rsidR="00CC06A2" w:rsidRPr="00973AF7">
        <w:t>that the scheme will remain in place until 30</w:t>
      </w:r>
      <w:r w:rsidR="00473880">
        <w:t> </w:t>
      </w:r>
      <w:r w:rsidR="00CC06A2" w:rsidRPr="00973AF7">
        <w:t>September 2020</w:t>
      </w:r>
      <w:r w:rsidR="00473880">
        <w:t xml:space="preserve">. </w:t>
      </w:r>
      <w:r w:rsidR="00E156C8" w:rsidRPr="00973AF7">
        <w:t xml:space="preserve">  </w:t>
      </w:r>
    </w:p>
    <w:p w14:paraId="353C8FAE" w14:textId="06D60606" w:rsidR="00280816" w:rsidRDefault="00280816" w:rsidP="000373C6">
      <w:pPr>
        <w:pStyle w:val="Bbodytext"/>
        <w:rPr>
          <w:szCs w:val="24"/>
        </w:rPr>
      </w:pPr>
      <w:r w:rsidRPr="00973AF7">
        <w:rPr>
          <w:szCs w:val="24"/>
        </w:rPr>
        <w:t xml:space="preserve">An application form is available </w:t>
      </w:r>
      <w:r w:rsidRPr="00973AF7">
        <w:rPr>
          <w:rFonts w:cstheme="minorHAnsi"/>
          <w:szCs w:val="24"/>
        </w:rPr>
        <w:t xml:space="preserve">on the </w:t>
      </w:r>
      <w:hyperlink r:id="rId20" w:history="1">
        <w:r w:rsidRPr="00973AF7">
          <w:rPr>
            <w:rStyle w:val="Hyperlink"/>
            <w:rFonts w:cstheme="minorHAnsi"/>
            <w:szCs w:val="24"/>
          </w:rPr>
          <w:t>ACT Revenue Office website</w:t>
        </w:r>
      </w:hyperlink>
      <w:r w:rsidR="00473880">
        <w:rPr>
          <w:rStyle w:val="Hyperlink"/>
          <w:rFonts w:ascii="Arial" w:hAnsi="Arial" w:cs="Arial"/>
          <w:szCs w:val="24"/>
        </w:rPr>
        <w:t xml:space="preserve">. </w:t>
      </w:r>
    </w:p>
    <w:p w14:paraId="41F704D4" w14:textId="77777777" w:rsidR="003140C0" w:rsidRPr="00973AF7" w:rsidRDefault="003140C0" w:rsidP="009C357F">
      <w:pPr>
        <w:pStyle w:val="Heading3"/>
        <w:keepNext w:val="0"/>
        <w:keepLines w:val="0"/>
      </w:pPr>
      <w:r w:rsidRPr="00973AF7">
        <w:t>Support for international students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2AED7F76" w14:textId="77777777" w:rsidTr="00C72836">
        <w:tc>
          <w:tcPr>
            <w:tcW w:w="2510" w:type="dxa"/>
            <w:tcBorders>
              <w:bottom w:val="single" w:sz="4" w:space="0" w:color="auto"/>
            </w:tcBorders>
          </w:tcPr>
          <w:p w14:paraId="3C811FAB" w14:textId="77777777" w:rsidR="003140C0" w:rsidRPr="00973AF7" w:rsidRDefault="003140C0" w:rsidP="009C357F">
            <w:pPr>
              <w:pStyle w:val="Initiativefigures"/>
            </w:pPr>
          </w:p>
        </w:tc>
        <w:tc>
          <w:tcPr>
            <w:tcW w:w="1301" w:type="dxa"/>
            <w:tcBorders>
              <w:bottom w:val="single" w:sz="4" w:space="0" w:color="auto"/>
            </w:tcBorders>
          </w:tcPr>
          <w:p w14:paraId="40A8B71E" w14:textId="77777777" w:rsidR="003140C0" w:rsidRPr="00973AF7" w:rsidRDefault="003140C0" w:rsidP="009C357F">
            <w:pPr>
              <w:pStyle w:val="Initiativefigures"/>
            </w:pPr>
            <w:r w:rsidRPr="00973AF7">
              <w:t>2019-20</w:t>
            </w:r>
          </w:p>
          <w:p w14:paraId="2385C521" w14:textId="77777777" w:rsidR="003140C0" w:rsidRPr="00973AF7" w:rsidRDefault="003140C0" w:rsidP="009C357F">
            <w:pPr>
              <w:pStyle w:val="Initiativefigures"/>
            </w:pPr>
            <w:r w:rsidRPr="00973AF7">
              <w:t>$’000</w:t>
            </w:r>
          </w:p>
        </w:tc>
        <w:tc>
          <w:tcPr>
            <w:tcW w:w="1301" w:type="dxa"/>
            <w:tcBorders>
              <w:bottom w:val="single" w:sz="4" w:space="0" w:color="auto"/>
            </w:tcBorders>
          </w:tcPr>
          <w:p w14:paraId="5DE8448D" w14:textId="77777777" w:rsidR="003140C0" w:rsidRPr="00973AF7" w:rsidRDefault="003140C0" w:rsidP="009C357F">
            <w:pPr>
              <w:pStyle w:val="Initiativefigures"/>
            </w:pPr>
            <w:r w:rsidRPr="00973AF7">
              <w:t>2020-21</w:t>
            </w:r>
          </w:p>
          <w:p w14:paraId="329AAC97" w14:textId="77777777" w:rsidR="003140C0" w:rsidRPr="00973AF7" w:rsidRDefault="003140C0" w:rsidP="009C357F">
            <w:pPr>
              <w:pStyle w:val="Initiativefigures"/>
            </w:pPr>
            <w:r w:rsidRPr="00973AF7">
              <w:t>$’000</w:t>
            </w:r>
          </w:p>
        </w:tc>
        <w:tc>
          <w:tcPr>
            <w:tcW w:w="1301" w:type="dxa"/>
            <w:tcBorders>
              <w:bottom w:val="single" w:sz="4" w:space="0" w:color="auto"/>
            </w:tcBorders>
          </w:tcPr>
          <w:p w14:paraId="72DBEEC0" w14:textId="77777777" w:rsidR="003140C0" w:rsidRPr="00973AF7" w:rsidRDefault="003140C0" w:rsidP="009C357F">
            <w:pPr>
              <w:pStyle w:val="Initiativefigures"/>
            </w:pPr>
            <w:r w:rsidRPr="00973AF7">
              <w:t>2021-22</w:t>
            </w:r>
          </w:p>
          <w:p w14:paraId="7A632A0B" w14:textId="77777777" w:rsidR="003140C0" w:rsidRPr="00973AF7" w:rsidRDefault="003140C0" w:rsidP="009C357F">
            <w:pPr>
              <w:pStyle w:val="Initiativefigures"/>
            </w:pPr>
            <w:r w:rsidRPr="00973AF7">
              <w:t>$’000</w:t>
            </w:r>
          </w:p>
        </w:tc>
        <w:tc>
          <w:tcPr>
            <w:tcW w:w="1301" w:type="dxa"/>
          </w:tcPr>
          <w:p w14:paraId="4950D039" w14:textId="77777777" w:rsidR="003140C0" w:rsidRPr="00973AF7" w:rsidRDefault="003140C0" w:rsidP="009C357F">
            <w:pPr>
              <w:pStyle w:val="Initiativefigures"/>
            </w:pPr>
            <w:r w:rsidRPr="00973AF7">
              <w:t>2022-23</w:t>
            </w:r>
          </w:p>
          <w:p w14:paraId="3C50E7A9" w14:textId="77777777" w:rsidR="003140C0" w:rsidRPr="00973AF7" w:rsidRDefault="003140C0" w:rsidP="009C357F">
            <w:pPr>
              <w:pStyle w:val="Initiativefigures"/>
            </w:pPr>
            <w:r w:rsidRPr="00973AF7">
              <w:t>$’000</w:t>
            </w:r>
          </w:p>
        </w:tc>
        <w:tc>
          <w:tcPr>
            <w:tcW w:w="1302" w:type="dxa"/>
          </w:tcPr>
          <w:p w14:paraId="06D406C7" w14:textId="77777777" w:rsidR="003140C0" w:rsidRPr="00973AF7" w:rsidRDefault="003140C0" w:rsidP="009C357F">
            <w:pPr>
              <w:pStyle w:val="Initiativefigures"/>
              <w:rPr>
                <w:b/>
                <w:bCs/>
              </w:rPr>
            </w:pPr>
            <w:r w:rsidRPr="00973AF7">
              <w:rPr>
                <w:b/>
                <w:bCs/>
              </w:rPr>
              <w:t xml:space="preserve">Total </w:t>
            </w:r>
          </w:p>
          <w:p w14:paraId="0F14C59B" w14:textId="77777777" w:rsidR="003140C0" w:rsidRPr="00973AF7" w:rsidRDefault="003140C0" w:rsidP="009C357F">
            <w:pPr>
              <w:pStyle w:val="Initiativefigures"/>
              <w:rPr>
                <w:b/>
                <w:bCs/>
              </w:rPr>
            </w:pPr>
            <w:r w:rsidRPr="00973AF7">
              <w:rPr>
                <w:b/>
                <w:bCs/>
              </w:rPr>
              <w:t>$’000</w:t>
            </w:r>
          </w:p>
        </w:tc>
      </w:tr>
      <w:tr w:rsidR="003140C0" w:rsidRPr="00973AF7" w14:paraId="6FDA5DF0" w14:textId="77777777" w:rsidTr="00C72836">
        <w:tc>
          <w:tcPr>
            <w:tcW w:w="2510" w:type="dxa"/>
          </w:tcPr>
          <w:p w14:paraId="743F9586" w14:textId="77777777" w:rsidR="003140C0" w:rsidRPr="00973AF7" w:rsidRDefault="003140C0" w:rsidP="009C357F">
            <w:pPr>
              <w:pStyle w:val="Initiativetext"/>
            </w:pPr>
            <w:r w:rsidRPr="00973AF7">
              <w:t>Expense</w:t>
            </w:r>
          </w:p>
        </w:tc>
        <w:tc>
          <w:tcPr>
            <w:tcW w:w="1301" w:type="dxa"/>
          </w:tcPr>
          <w:p w14:paraId="465836B5" w14:textId="77777777" w:rsidR="003140C0" w:rsidRPr="00973AF7" w:rsidRDefault="003140C0" w:rsidP="009C357F">
            <w:pPr>
              <w:pStyle w:val="Initiativefigures"/>
            </w:pPr>
            <w:r w:rsidRPr="00973AF7">
              <w:t>150</w:t>
            </w:r>
          </w:p>
        </w:tc>
        <w:tc>
          <w:tcPr>
            <w:tcW w:w="1301" w:type="dxa"/>
          </w:tcPr>
          <w:p w14:paraId="41378F80" w14:textId="77777777" w:rsidR="003140C0" w:rsidRPr="00973AF7" w:rsidRDefault="003140C0" w:rsidP="009C357F">
            <w:pPr>
              <w:pStyle w:val="Initiativefigures"/>
            </w:pPr>
            <w:r w:rsidRPr="00973AF7">
              <w:t>0</w:t>
            </w:r>
          </w:p>
        </w:tc>
        <w:tc>
          <w:tcPr>
            <w:tcW w:w="1301" w:type="dxa"/>
          </w:tcPr>
          <w:p w14:paraId="0B8901DC" w14:textId="77777777" w:rsidR="003140C0" w:rsidRPr="00973AF7" w:rsidRDefault="003140C0" w:rsidP="009C357F">
            <w:pPr>
              <w:pStyle w:val="Initiativefigures"/>
            </w:pPr>
            <w:r w:rsidRPr="00973AF7">
              <w:t>0</w:t>
            </w:r>
          </w:p>
        </w:tc>
        <w:tc>
          <w:tcPr>
            <w:tcW w:w="1301" w:type="dxa"/>
          </w:tcPr>
          <w:p w14:paraId="22191F07" w14:textId="77777777" w:rsidR="003140C0" w:rsidRPr="00973AF7" w:rsidRDefault="003140C0" w:rsidP="009C357F">
            <w:pPr>
              <w:pStyle w:val="Initiativefigures"/>
            </w:pPr>
            <w:r w:rsidRPr="00973AF7">
              <w:t>0</w:t>
            </w:r>
          </w:p>
        </w:tc>
        <w:tc>
          <w:tcPr>
            <w:tcW w:w="1302" w:type="dxa"/>
          </w:tcPr>
          <w:p w14:paraId="38C81BAC" w14:textId="77777777" w:rsidR="003140C0" w:rsidRPr="00973AF7" w:rsidRDefault="003140C0" w:rsidP="009C357F">
            <w:pPr>
              <w:pStyle w:val="Initiativefigures"/>
              <w:rPr>
                <w:b/>
                <w:bCs/>
              </w:rPr>
            </w:pPr>
            <w:r w:rsidRPr="00973AF7">
              <w:rPr>
                <w:b/>
                <w:bCs/>
              </w:rPr>
              <w:t>150</w:t>
            </w:r>
          </w:p>
        </w:tc>
      </w:tr>
    </w:tbl>
    <w:p w14:paraId="2752B2D4" w14:textId="26FDBD67" w:rsidR="003140C0" w:rsidRPr="00973AF7" w:rsidRDefault="003140C0" w:rsidP="009C357F">
      <w:pPr>
        <w:pStyle w:val="Bbodytext"/>
        <w:rPr>
          <w:rFonts w:ascii="Calibri" w:hAnsi="Calibri"/>
        </w:rPr>
      </w:pPr>
      <w:r w:rsidRPr="00973AF7">
        <w:rPr>
          <w:rFonts w:ascii="Calibri" w:hAnsi="Calibri"/>
        </w:rPr>
        <w:t xml:space="preserve">The Government is </w:t>
      </w:r>
      <w:proofErr w:type="gramStart"/>
      <w:r w:rsidRPr="00973AF7">
        <w:rPr>
          <w:rFonts w:ascii="Calibri" w:hAnsi="Calibri"/>
        </w:rPr>
        <w:t>providing assistance</w:t>
      </w:r>
      <w:proofErr w:type="gramEnd"/>
      <w:r w:rsidRPr="00973AF7">
        <w:rPr>
          <w:rFonts w:ascii="Calibri" w:hAnsi="Calibri"/>
        </w:rPr>
        <w:t xml:space="preserve"> for international students during COVID-19, recognising that many people on temporary visas are not eligible for other forms of assistance, such as the Commonwealth’s Job Keeper program</w:t>
      </w:r>
      <w:r w:rsidR="00473880">
        <w:rPr>
          <w:rFonts w:ascii="Calibri" w:hAnsi="Calibri"/>
        </w:rPr>
        <w:t xml:space="preserve">. </w:t>
      </w:r>
      <w:r w:rsidRPr="00973AF7">
        <w:rPr>
          <w:rFonts w:ascii="Calibri" w:hAnsi="Calibri"/>
        </w:rPr>
        <w:t>Funding will be provided to and subsequently managed by the Australian Red Cross</w:t>
      </w:r>
      <w:r w:rsidR="00473880">
        <w:rPr>
          <w:rFonts w:ascii="Calibri" w:hAnsi="Calibri"/>
        </w:rPr>
        <w:t xml:space="preserve">. </w:t>
      </w:r>
      <w:r w:rsidRPr="00973AF7">
        <w:rPr>
          <w:rFonts w:ascii="Calibri" w:hAnsi="Calibri"/>
        </w:rPr>
        <w:t xml:space="preserve">This funding supplements the $300,000 being provided to </w:t>
      </w:r>
      <w:r w:rsidRPr="00973AF7">
        <w:t>support asylum seekers and temporary visa holders as part of the $</w:t>
      </w:r>
      <w:r w:rsidR="008D7FF3">
        <w:t>9</w:t>
      </w:r>
      <w:r w:rsidRPr="00973AF7">
        <w:t xml:space="preserve"> million Community Support Package</w:t>
      </w:r>
      <w:r w:rsidR="00473880">
        <w:t xml:space="preserve">.  </w:t>
      </w:r>
    </w:p>
    <w:p w14:paraId="54D69723" w14:textId="6EB2AAD5" w:rsidR="00876320" w:rsidRPr="00973AF7" w:rsidRDefault="00C94BE2">
      <w:pPr>
        <w:pStyle w:val="Heading3"/>
        <w:rPr>
          <w:bCs/>
        </w:rPr>
      </w:pPr>
      <w:r w:rsidRPr="00973AF7">
        <w:lastRenderedPageBreak/>
        <w:t>Utilities hardship</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49122C" w:rsidRPr="00973AF7" w14:paraId="70266ADE" w14:textId="77777777" w:rsidTr="0049122C">
        <w:tc>
          <w:tcPr>
            <w:tcW w:w="2510" w:type="dxa"/>
            <w:tcBorders>
              <w:bottom w:val="single" w:sz="4" w:space="0" w:color="auto"/>
            </w:tcBorders>
          </w:tcPr>
          <w:p w14:paraId="1A9D1D1D" w14:textId="77777777" w:rsidR="0049122C" w:rsidRPr="00973AF7" w:rsidRDefault="0049122C" w:rsidP="00973AF7">
            <w:pPr>
              <w:pStyle w:val="Initiativefigures"/>
              <w:keepNext/>
              <w:keepLines/>
            </w:pPr>
          </w:p>
        </w:tc>
        <w:tc>
          <w:tcPr>
            <w:tcW w:w="1301" w:type="dxa"/>
            <w:tcBorders>
              <w:bottom w:val="single" w:sz="4" w:space="0" w:color="auto"/>
            </w:tcBorders>
          </w:tcPr>
          <w:p w14:paraId="1872A486" w14:textId="77777777" w:rsidR="0049122C" w:rsidRPr="00973AF7" w:rsidRDefault="0049122C" w:rsidP="00973AF7">
            <w:pPr>
              <w:pStyle w:val="Initiativefigures"/>
              <w:keepNext/>
              <w:keepLines/>
            </w:pPr>
            <w:r w:rsidRPr="00973AF7">
              <w:t>2019-20</w:t>
            </w:r>
          </w:p>
          <w:p w14:paraId="011E6AFF" w14:textId="77777777" w:rsidR="0049122C" w:rsidRPr="00973AF7" w:rsidRDefault="0049122C" w:rsidP="00973AF7">
            <w:pPr>
              <w:pStyle w:val="Initiativefigures"/>
              <w:keepNext/>
              <w:keepLines/>
            </w:pPr>
            <w:r w:rsidRPr="00973AF7">
              <w:t>$’000</w:t>
            </w:r>
          </w:p>
        </w:tc>
        <w:tc>
          <w:tcPr>
            <w:tcW w:w="1301" w:type="dxa"/>
            <w:tcBorders>
              <w:bottom w:val="single" w:sz="4" w:space="0" w:color="auto"/>
            </w:tcBorders>
          </w:tcPr>
          <w:p w14:paraId="06FB629A" w14:textId="77777777" w:rsidR="0049122C" w:rsidRPr="00973AF7" w:rsidRDefault="0049122C" w:rsidP="00973AF7">
            <w:pPr>
              <w:pStyle w:val="Initiativefigures"/>
              <w:keepNext/>
              <w:keepLines/>
            </w:pPr>
            <w:r w:rsidRPr="00973AF7">
              <w:t>2020-21</w:t>
            </w:r>
          </w:p>
          <w:p w14:paraId="750256A1" w14:textId="77777777" w:rsidR="0049122C" w:rsidRPr="00973AF7" w:rsidRDefault="0049122C" w:rsidP="00973AF7">
            <w:pPr>
              <w:pStyle w:val="Initiativefigures"/>
              <w:keepNext/>
              <w:keepLines/>
            </w:pPr>
            <w:r w:rsidRPr="00973AF7">
              <w:t>$’000</w:t>
            </w:r>
          </w:p>
        </w:tc>
        <w:tc>
          <w:tcPr>
            <w:tcW w:w="1301" w:type="dxa"/>
            <w:tcBorders>
              <w:bottom w:val="single" w:sz="4" w:space="0" w:color="auto"/>
            </w:tcBorders>
          </w:tcPr>
          <w:p w14:paraId="242B407D" w14:textId="77777777" w:rsidR="0049122C" w:rsidRPr="00973AF7" w:rsidRDefault="0049122C" w:rsidP="00973AF7">
            <w:pPr>
              <w:pStyle w:val="Initiativefigures"/>
              <w:keepNext/>
              <w:keepLines/>
            </w:pPr>
            <w:r w:rsidRPr="00973AF7">
              <w:t>2021-22</w:t>
            </w:r>
          </w:p>
          <w:p w14:paraId="3C51729A" w14:textId="2A55D45A" w:rsidR="0049122C" w:rsidRPr="00973AF7" w:rsidRDefault="0049122C" w:rsidP="00973AF7">
            <w:pPr>
              <w:pStyle w:val="Initiativefigures"/>
              <w:keepNext/>
              <w:keepLines/>
            </w:pPr>
            <w:r w:rsidRPr="00973AF7">
              <w:t>$’000</w:t>
            </w:r>
          </w:p>
        </w:tc>
        <w:tc>
          <w:tcPr>
            <w:tcW w:w="1301" w:type="dxa"/>
            <w:tcBorders>
              <w:bottom w:val="single" w:sz="4" w:space="0" w:color="auto"/>
            </w:tcBorders>
          </w:tcPr>
          <w:p w14:paraId="211C4570" w14:textId="77777777" w:rsidR="0049122C" w:rsidRPr="00973AF7" w:rsidRDefault="0049122C" w:rsidP="00973AF7">
            <w:pPr>
              <w:pStyle w:val="Initiativefigures"/>
              <w:keepNext/>
              <w:keepLines/>
            </w:pPr>
            <w:r w:rsidRPr="00973AF7">
              <w:t>2022-23</w:t>
            </w:r>
          </w:p>
          <w:p w14:paraId="56E752AD" w14:textId="54A0A36A" w:rsidR="0049122C" w:rsidRPr="00973AF7" w:rsidRDefault="0049122C" w:rsidP="00973AF7">
            <w:pPr>
              <w:pStyle w:val="Initiativefigures"/>
              <w:keepNext/>
              <w:keepLines/>
            </w:pPr>
            <w:r w:rsidRPr="00973AF7">
              <w:t>$’000</w:t>
            </w:r>
          </w:p>
        </w:tc>
        <w:tc>
          <w:tcPr>
            <w:tcW w:w="1302" w:type="dxa"/>
            <w:tcBorders>
              <w:bottom w:val="single" w:sz="4" w:space="0" w:color="auto"/>
            </w:tcBorders>
          </w:tcPr>
          <w:p w14:paraId="035B8899" w14:textId="77777777" w:rsidR="0049122C" w:rsidRPr="00973AF7" w:rsidRDefault="0049122C" w:rsidP="00973AF7">
            <w:pPr>
              <w:pStyle w:val="Initiativefigures"/>
              <w:keepNext/>
              <w:keepLines/>
              <w:rPr>
                <w:b/>
                <w:bCs/>
              </w:rPr>
            </w:pPr>
            <w:r w:rsidRPr="00973AF7">
              <w:rPr>
                <w:b/>
                <w:bCs/>
              </w:rPr>
              <w:t xml:space="preserve">Total </w:t>
            </w:r>
          </w:p>
          <w:p w14:paraId="69940F93" w14:textId="77777777" w:rsidR="0049122C" w:rsidRPr="00973AF7" w:rsidRDefault="0049122C" w:rsidP="00973AF7">
            <w:pPr>
              <w:pStyle w:val="Initiativefigures"/>
              <w:keepNext/>
              <w:keepLines/>
              <w:rPr>
                <w:b/>
                <w:bCs/>
              </w:rPr>
            </w:pPr>
            <w:r w:rsidRPr="00973AF7">
              <w:rPr>
                <w:b/>
                <w:bCs/>
              </w:rPr>
              <w:t>$’000</w:t>
            </w:r>
          </w:p>
        </w:tc>
      </w:tr>
      <w:tr w:rsidR="00C94BE2" w:rsidRPr="00973AF7" w14:paraId="7A923744" w14:textId="77777777" w:rsidTr="0049122C">
        <w:tc>
          <w:tcPr>
            <w:tcW w:w="2510" w:type="dxa"/>
            <w:tcBorders>
              <w:bottom w:val="single" w:sz="4" w:space="0" w:color="auto"/>
            </w:tcBorders>
          </w:tcPr>
          <w:p w14:paraId="0CDEB924" w14:textId="157310CF" w:rsidR="00C94BE2" w:rsidRPr="00973AF7" w:rsidRDefault="000373C6" w:rsidP="00973AF7">
            <w:pPr>
              <w:pStyle w:val="Initiativetext"/>
              <w:keepNext/>
              <w:keepLines/>
            </w:pPr>
            <w:r w:rsidRPr="00973AF7">
              <w:t>Expense</w:t>
            </w:r>
          </w:p>
        </w:tc>
        <w:tc>
          <w:tcPr>
            <w:tcW w:w="1301" w:type="dxa"/>
            <w:tcBorders>
              <w:bottom w:val="single" w:sz="4" w:space="0" w:color="auto"/>
            </w:tcBorders>
          </w:tcPr>
          <w:p w14:paraId="57716288" w14:textId="7A58945C" w:rsidR="00C94BE2" w:rsidRPr="00973AF7" w:rsidRDefault="00C94BE2" w:rsidP="00973AF7">
            <w:pPr>
              <w:pStyle w:val="Initiativefigures"/>
              <w:keepNext/>
              <w:keepLines/>
            </w:pPr>
            <w:r w:rsidRPr="00973AF7">
              <w:t>250</w:t>
            </w:r>
          </w:p>
        </w:tc>
        <w:tc>
          <w:tcPr>
            <w:tcW w:w="1301" w:type="dxa"/>
            <w:tcBorders>
              <w:bottom w:val="single" w:sz="4" w:space="0" w:color="auto"/>
            </w:tcBorders>
          </w:tcPr>
          <w:p w14:paraId="33DDEE0C" w14:textId="77777777" w:rsidR="00C94BE2" w:rsidRPr="00973AF7" w:rsidRDefault="00C94BE2" w:rsidP="00973AF7">
            <w:pPr>
              <w:pStyle w:val="Initiativefigures"/>
              <w:keepNext/>
              <w:keepLines/>
            </w:pPr>
            <w:r w:rsidRPr="00973AF7">
              <w:t>0</w:t>
            </w:r>
          </w:p>
        </w:tc>
        <w:tc>
          <w:tcPr>
            <w:tcW w:w="1301" w:type="dxa"/>
            <w:tcBorders>
              <w:bottom w:val="single" w:sz="4" w:space="0" w:color="auto"/>
            </w:tcBorders>
          </w:tcPr>
          <w:p w14:paraId="640218C0" w14:textId="77777777" w:rsidR="00C94BE2" w:rsidRPr="00973AF7" w:rsidRDefault="00C94BE2" w:rsidP="00973AF7">
            <w:pPr>
              <w:pStyle w:val="Initiativefigures"/>
              <w:keepNext/>
              <w:keepLines/>
            </w:pPr>
            <w:r w:rsidRPr="00973AF7">
              <w:t>0</w:t>
            </w:r>
          </w:p>
        </w:tc>
        <w:tc>
          <w:tcPr>
            <w:tcW w:w="1301" w:type="dxa"/>
            <w:tcBorders>
              <w:bottom w:val="single" w:sz="4" w:space="0" w:color="auto"/>
            </w:tcBorders>
          </w:tcPr>
          <w:p w14:paraId="3F7C6826" w14:textId="77777777" w:rsidR="00C94BE2" w:rsidRPr="00973AF7" w:rsidRDefault="00C94BE2" w:rsidP="00973AF7">
            <w:pPr>
              <w:pStyle w:val="Initiativefigures"/>
              <w:keepNext/>
              <w:keepLines/>
            </w:pPr>
            <w:r w:rsidRPr="00973AF7">
              <w:t>0</w:t>
            </w:r>
          </w:p>
        </w:tc>
        <w:tc>
          <w:tcPr>
            <w:tcW w:w="1302" w:type="dxa"/>
            <w:tcBorders>
              <w:bottom w:val="single" w:sz="4" w:space="0" w:color="auto"/>
            </w:tcBorders>
          </w:tcPr>
          <w:p w14:paraId="22B450F3" w14:textId="33409259" w:rsidR="00C94BE2" w:rsidRPr="00973AF7" w:rsidRDefault="00C94BE2" w:rsidP="00973AF7">
            <w:pPr>
              <w:pStyle w:val="Initiativefigures"/>
              <w:keepNext/>
              <w:keepLines/>
              <w:rPr>
                <w:b/>
                <w:bCs/>
              </w:rPr>
            </w:pPr>
            <w:r w:rsidRPr="00973AF7">
              <w:rPr>
                <w:b/>
                <w:bCs/>
              </w:rPr>
              <w:t>250</w:t>
            </w:r>
          </w:p>
        </w:tc>
      </w:tr>
    </w:tbl>
    <w:p w14:paraId="76B6E7A7" w14:textId="399F145E" w:rsidR="006F4E7A" w:rsidRPr="00973AF7" w:rsidRDefault="00876320" w:rsidP="003140C0">
      <w:pPr>
        <w:pStyle w:val="Bbodytext"/>
        <w:keepNext/>
        <w:keepLines/>
        <w:rPr>
          <w:b/>
          <w:bCs/>
        </w:rPr>
      </w:pPr>
      <w:r w:rsidRPr="00973AF7">
        <w:t xml:space="preserve">The Government </w:t>
      </w:r>
      <w:r w:rsidR="00E24A83" w:rsidRPr="006430BC">
        <w:t xml:space="preserve">has </w:t>
      </w:r>
      <w:r w:rsidR="00C94BE2" w:rsidRPr="006430BC">
        <w:t>p</w:t>
      </w:r>
      <w:r w:rsidR="00C94BE2" w:rsidRPr="00973AF7">
        <w:t>rovide</w:t>
      </w:r>
      <w:r w:rsidR="00E24A83">
        <w:t>d</w:t>
      </w:r>
      <w:r w:rsidRPr="00973AF7">
        <w:t xml:space="preserve"> up to $250,000 to a new </w:t>
      </w:r>
      <w:r w:rsidR="00A72A37">
        <w:t xml:space="preserve">hardship </w:t>
      </w:r>
      <w:r w:rsidRPr="00973AF7">
        <w:t>fund to assist</w:t>
      </w:r>
      <w:r w:rsidR="00A72A37">
        <w:t xml:space="preserve"> any</w:t>
      </w:r>
      <w:r w:rsidRPr="00973AF7">
        <w:t xml:space="preserve"> households severely </w:t>
      </w:r>
      <w:r w:rsidR="009425CA" w:rsidRPr="00973AF7">
        <w:t xml:space="preserve">affected </w:t>
      </w:r>
      <w:r w:rsidRPr="00973AF7">
        <w:t>by COVID-19</w:t>
      </w:r>
      <w:r w:rsidR="00A72A37">
        <w:t xml:space="preserve"> to pay their utility bills</w:t>
      </w:r>
      <w:r w:rsidR="00473880">
        <w:t xml:space="preserve">. </w:t>
      </w:r>
      <w:r w:rsidR="00D95B61" w:rsidRPr="00973AF7">
        <w:t xml:space="preserve">All major retailers are participating in the </w:t>
      </w:r>
      <w:r w:rsidR="00280816" w:rsidRPr="00973AF7">
        <w:t>fund,</w:t>
      </w:r>
      <w:r w:rsidR="00D95B61" w:rsidRPr="00973AF7">
        <w:t xml:space="preserve"> representing coverage of 99</w:t>
      </w:r>
      <w:r w:rsidR="00473880">
        <w:t>.</w:t>
      </w:r>
      <w:r w:rsidR="00D95B61" w:rsidRPr="00973AF7">
        <w:t>6 per cent of residential electricity customers in the ACT</w:t>
      </w:r>
      <w:r w:rsidR="00473880">
        <w:t xml:space="preserve">. </w:t>
      </w:r>
    </w:p>
    <w:p w14:paraId="494DE99E" w14:textId="77777777" w:rsidR="00055101" w:rsidRPr="00973AF7" w:rsidRDefault="00055101">
      <w:pPr>
        <w:rPr>
          <w:rFonts w:ascii="Calibri" w:eastAsiaTheme="majorEastAsia" w:hAnsi="Calibri" w:cstheme="majorBidi"/>
          <w:b/>
          <w:sz w:val="32"/>
          <w:szCs w:val="26"/>
        </w:rPr>
      </w:pPr>
      <w:r w:rsidRPr="00973AF7">
        <w:br w:type="page"/>
      </w:r>
    </w:p>
    <w:p w14:paraId="36A796F9" w14:textId="084B3C1D" w:rsidR="00662538" w:rsidRPr="00973AF7" w:rsidRDefault="00662538" w:rsidP="000373C6">
      <w:pPr>
        <w:pStyle w:val="Heading2"/>
      </w:pPr>
      <w:r w:rsidRPr="00973AF7">
        <w:lastRenderedPageBreak/>
        <w:t>Keeping Canberrans employed</w:t>
      </w:r>
    </w:p>
    <w:p w14:paraId="7878D6A6" w14:textId="77777777" w:rsidR="003140C0" w:rsidRPr="00973AF7" w:rsidRDefault="003140C0" w:rsidP="003140C0">
      <w:pPr>
        <w:pStyle w:val="Heading3"/>
      </w:pPr>
      <w:r w:rsidRPr="00973AF7">
        <w:t xml:space="preserve">Access to Portable Long Service Leave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6754598D" w14:textId="77777777" w:rsidTr="00C72836">
        <w:tc>
          <w:tcPr>
            <w:tcW w:w="2510" w:type="dxa"/>
            <w:tcBorders>
              <w:bottom w:val="single" w:sz="4" w:space="0" w:color="auto"/>
            </w:tcBorders>
          </w:tcPr>
          <w:p w14:paraId="4ECF9A9C" w14:textId="77777777" w:rsidR="003140C0" w:rsidRPr="00973AF7" w:rsidRDefault="003140C0" w:rsidP="00C72836">
            <w:pPr>
              <w:pStyle w:val="Initiativefigures"/>
            </w:pPr>
          </w:p>
        </w:tc>
        <w:tc>
          <w:tcPr>
            <w:tcW w:w="1301" w:type="dxa"/>
            <w:tcBorders>
              <w:bottom w:val="single" w:sz="4" w:space="0" w:color="auto"/>
            </w:tcBorders>
          </w:tcPr>
          <w:p w14:paraId="0D6B39B4" w14:textId="77777777" w:rsidR="003140C0" w:rsidRPr="00973AF7" w:rsidRDefault="003140C0" w:rsidP="00C72836">
            <w:pPr>
              <w:pStyle w:val="Initiativefigures"/>
            </w:pPr>
            <w:r w:rsidRPr="00973AF7">
              <w:t>2019-20</w:t>
            </w:r>
          </w:p>
          <w:p w14:paraId="65915880"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13FD037D" w14:textId="77777777" w:rsidR="003140C0" w:rsidRPr="00973AF7" w:rsidRDefault="003140C0" w:rsidP="00C72836">
            <w:pPr>
              <w:pStyle w:val="Initiativefigures"/>
            </w:pPr>
            <w:r w:rsidRPr="00973AF7">
              <w:t>2020-21</w:t>
            </w:r>
          </w:p>
          <w:p w14:paraId="6C7B95D8"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5C306B97" w14:textId="77777777" w:rsidR="003140C0" w:rsidRPr="00973AF7" w:rsidRDefault="003140C0" w:rsidP="00C72836">
            <w:pPr>
              <w:pStyle w:val="Initiativefigures"/>
            </w:pPr>
            <w:r w:rsidRPr="00973AF7">
              <w:t>2021-22</w:t>
            </w:r>
          </w:p>
          <w:p w14:paraId="489C5DE4"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31CACC18" w14:textId="77777777" w:rsidR="003140C0" w:rsidRPr="00973AF7" w:rsidRDefault="003140C0" w:rsidP="00C72836">
            <w:pPr>
              <w:pStyle w:val="Initiativefigures"/>
            </w:pPr>
            <w:r w:rsidRPr="00973AF7">
              <w:t>2022-23</w:t>
            </w:r>
          </w:p>
          <w:p w14:paraId="4C048D82" w14:textId="77777777" w:rsidR="003140C0" w:rsidRPr="00973AF7" w:rsidRDefault="003140C0" w:rsidP="00C72836">
            <w:pPr>
              <w:pStyle w:val="Initiativefigures"/>
            </w:pPr>
            <w:r w:rsidRPr="00973AF7">
              <w:t>$’000</w:t>
            </w:r>
          </w:p>
        </w:tc>
        <w:tc>
          <w:tcPr>
            <w:tcW w:w="1302" w:type="dxa"/>
            <w:tcBorders>
              <w:bottom w:val="single" w:sz="4" w:space="0" w:color="auto"/>
            </w:tcBorders>
          </w:tcPr>
          <w:p w14:paraId="65B5976E" w14:textId="77777777" w:rsidR="003140C0" w:rsidRPr="00973AF7" w:rsidRDefault="003140C0" w:rsidP="00C72836">
            <w:pPr>
              <w:pStyle w:val="Initiativefigures"/>
              <w:rPr>
                <w:b/>
                <w:bCs/>
              </w:rPr>
            </w:pPr>
            <w:r w:rsidRPr="00973AF7">
              <w:rPr>
                <w:b/>
                <w:bCs/>
              </w:rPr>
              <w:t xml:space="preserve">Total </w:t>
            </w:r>
          </w:p>
          <w:p w14:paraId="027F43B0" w14:textId="77777777" w:rsidR="003140C0" w:rsidRPr="00973AF7" w:rsidRDefault="003140C0" w:rsidP="00C72836">
            <w:pPr>
              <w:pStyle w:val="Initiativefigures"/>
              <w:rPr>
                <w:b/>
                <w:bCs/>
              </w:rPr>
            </w:pPr>
            <w:r w:rsidRPr="00973AF7">
              <w:rPr>
                <w:b/>
                <w:bCs/>
              </w:rPr>
              <w:t>$’000</w:t>
            </w:r>
          </w:p>
        </w:tc>
      </w:tr>
      <w:tr w:rsidR="003140C0" w:rsidRPr="00973AF7" w14:paraId="698EDEAE" w14:textId="77777777" w:rsidTr="00C72836">
        <w:tc>
          <w:tcPr>
            <w:tcW w:w="2510" w:type="dxa"/>
            <w:tcBorders>
              <w:bottom w:val="single" w:sz="4" w:space="0" w:color="auto"/>
            </w:tcBorders>
          </w:tcPr>
          <w:p w14:paraId="29FC7348" w14:textId="77777777" w:rsidR="003140C0" w:rsidRPr="00973AF7" w:rsidRDefault="003140C0" w:rsidP="00C72836">
            <w:pPr>
              <w:pStyle w:val="Initiativetext"/>
            </w:pPr>
            <w:r w:rsidRPr="00973AF7">
              <w:t>Expense</w:t>
            </w:r>
          </w:p>
        </w:tc>
        <w:tc>
          <w:tcPr>
            <w:tcW w:w="1301" w:type="dxa"/>
            <w:tcBorders>
              <w:bottom w:val="single" w:sz="4" w:space="0" w:color="auto"/>
            </w:tcBorders>
          </w:tcPr>
          <w:p w14:paraId="54DF61B4" w14:textId="77777777" w:rsidR="003140C0" w:rsidRPr="00973AF7" w:rsidRDefault="003140C0" w:rsidP="00C72836">
            <w:pPr>
              <w:pStyle w:val="Initiativefigures"/>
            </w:pPr>
            <w:r w:rsidRPr="00973AF7">
              <w:t>0</w:t>
            </w:r>
          </w:p>
        </w:tc>
        <w:tc>
          <w:tcPr>
            <w:tcW w:w="1301" w:type="dxa"/>
            <w:tcBorders>
              <w:bottom w:val="single" w:sz="4" w:space="0" w:color="auto"/>
            </w:tcBorders>
          </w:tcPr>
          <w:p w14:paraId="18B41A59" w14:textId="77777777" w:rsidR="003140C0" w:rsidRPr="00973AF7" w:rsidRDefault="003140C0" w:rsidP="00C72836">
            <w:pPr>
              <w:pStyle w:val="Initiativefigures"/>
            </w:pPr>
            <w:r w:rsidRPr="00973AF7">
              <w:t>0</w:t>
            </w:r>
          </w:p>
        </w:tc>
        <w:tc>
          <w:tcPr>
            <w:tcW w:w="1301" w:type="dxa"/>
            <w:tcBorders>
              <w:bottom w:val="single" w:sz="4" w:space="0" w:color="auto"/>
            </w:tcBorders>
          </w:tcPr>
          <w:p w14:paraId="506387A5" w14:textId="77777777" w:rsidR="003140C0" w:rsidRPr="00973AF7" w:rsidRDefault="003140C0" w:rsidP="00C72836">
            <w:pPr>
              <w:pStyle w:val="Initiativefigures"/>
            </w:pPr>
            <w:r w:rsidRPr="00973AF7">
              <w:t>0</w:t>
            </w:r>
          </w:p>
        </w:tc>
        <w:tc>
          <w:tcPr>
            <w:tcW w:w="1301" w:type="dxa"/>
            <w:tcBorders>
              <w:bottom w:val="single" w:sz="4" w:space="0" w:color="auto"/>
            </w:tcBorders>
          </w:tcPr>
          <w:p w14:paraId="1557B171" w14:textId="77777777" w:rsidR="003140C0" w:rsidRPr="00973AF7" w:rsidRDefault="003140C0" w:rsidP="00C72836">
            <w:pPr>
              <w:pStyle w:val="Initiativefigures"/>
            </w:pPr>
            <w:r w:rsidRPr="00973AF7">
              <w:t>0</w:t>
            </w:r>
          </w:p>
        </w:tc>
        <w:tc>
          <w:tcPr>
            <w:tcW w:w="1302" w:type="dxa"/>
            <w:tcBorders>
              <w:bottom w:val="single" w:sz="4" w:space="0" w:color="auto"/>
            </w:tcBorders>
          </w:tcPr>
          <w:p w14:paraId="603EF020" w14:textId="77777777" w:rsidR="003140C0" w:rsidRPr="00973AF7" w:rsidRDefault="003140C0" w:rsidP="00C72836">
            <w:pPr>
              <w:pStyle w:val="Initiativefigures"/>
              <w:rPr>
                <w:b/>
                <w:bCs/>
              </w:rPr>
            </w:pPr>
            <w:r w:rsidRPr="00973AF7">
              <w:rPr>
                <w:b/>
                <w:bCs/>
              </w:rPr>
              <w:t>0</w:t>
            </w:r>
          </w:p>
        </w:tc>
      </w:tr>
    </w:tbl>
    <w:p w14:paraId="290197FF" w14:textId="1E13EB38" w:rsidR="003140C0" w:rsidRPr="00973AF7" w:rsidRDefault="003140C0" w:rsidP="003140C0">
      <w:pPr>
        <w:pStyle w:val="Bbodytext"/>
      </w:pPr>
      <w:r w:rsidRPr="00973AF7">
        <w:t>The Government has amended legislation to provide access to Long Service Leave to workers that suffer a loss of income</w:t>
      </w:r>
      <w:r w:rsidR="00473880">
        <w:t xml:space="preserve">. </w:t>
      </w:r>
      <w:r w:rsidRPr="00973AF7">
        <w:t xml:space="preserve"> The legislation allows the Minister for Employment to permit early access to leave payments accrued by workers impacted by the COVID 19 pandemic</w:t>
      </w:r>
      <w:r w:rsidR="00473880">
        <w:t xml:space="preserve">. </w:t>
      </w:r>
    </w:p>
    <w:p w14:paraId="51623E0A" w14:textId="77777777" w:rsidR="003140C0" w:rsidRPr="00973AF7" w:rsidRDefault="003140C0" w:rsidP="003140C0">
      <w:pPr>
        <w:pStyle w:val="Heading3"/>
      </w:pPr>
      <w:r w:rsidRPr="00973AF7">
        <w:t xml:space="preserve">Jobs for Canberrans Fund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0A71F8DC" w14:textId="77777777" w:rsidTr="00C72836">
        <w:tc>
          <w:tcPr>
            <w:tcW w:w="2510" w:type="dxa"/>
            <w:tcBorders>
              <w:bottom w:val="single" w:sz="4" w:space="0" w:color="auto"/>
            </w:tcBorders>
          </w:tcPr>
          <w:p w14:paraId="40F2DCA0" w14:textId="77777777" w:rsidR="003140C0" w:rsidRPr="00973AF7" w:rsidRDefault="003140C0" w:rsidP="00C72836">
            <w:pPr>
              <w:pStyle w:val="Initiativefigures"/>
            </w:pPr>
          </w:p>
        </w:tc>
        <w:tc>
          <w:tcPr>
            <w:tcW w:w="1301" w:type="dxa"/>
            <w:tcBorders>
              <w:bottom w:val="single" w:sz="4" w:space="0" w:color="auto"/>
            </w:tcBorders>
          </w:tcPr>
          <w:p w14:paraId="4006BB8B" w14:textId="77777777" w:rsidR="003140C0" w:rsidRPr="00973AF7" w:rsidRDefault="003140C0" w:rsidP="00C72836">
            <w:pPr>
              <w:pStyle w:val="Initiativefigures"/>
            </w:pPr>
            <w:r w:rsidRPr="00973AF7">
              <w:t>2019-20</w:t>
            </w:r>
          </w:p>
          <w:p w14:paraId="5D55A008"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38E93942" w14:textId="77777777" w:rsidR="003140C0" w:rsidRPr="00973AF7" w:rsidRDefault="003140C0" w:rsidP="00C72836">
            <w:pPr>
              <w:pStyle w:val="Initiativefigures"/>
            </w:pPr>
            <w:r w:rsidRPr="00973AF7">
              <w:t>2020-21</w:t>
            </w:r>
          </w:p>
          <w:p w14:paraId="66467776"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3861C595" w14:textId="77777777" w:rsidR="003140C0" w:rsidRPr="00973AF7" w:rsidRDefault="003140C0" w:rsidP="00C72836">
            <w:pPr>
              <w:pStyle w:val="Initiativefigures"/>
            </w:pPr>
            <w:r w:rsidRPr="00973AF7">
              <w:t>2021-22</w:t>
            </w:r>
          </w:p>
          <w:p w14:paraId="19E5A532"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19FF2E42" w14:textId="77777777" w:rsidR="003140C0" w:rsidRPr="00973AF7" w:rsidRDefault="003140C0" w:rsidP="00C72836">
            <w:pPr>
              <w:pStyle w:val="Initiativefigures"/>
            </w:pPr>
            <w:r w:rsidRPr="00973AF7">
              <w:t>2022-23</w:t>
            </w:r>
          </w:p>
          <w:p w14:paraId="6D9E4B34" w14:textId="77777777" w:rsidR="003140C0" w:rsidRPr="00973AF7" w:rsidRDefault="003140C0" w:rsidP="00C72836">
            <w:pPr>
              <w:pStyle w:val="Initiativefigures"/>
            </w:pPr>
            <w:r w:rsidRPr="00973AF7">
              <w:t>$’000</w:t>
            </w:r>
          </w:p>
        </w:tc>
        <w:tc>
          <w:tcPr>
            <w:tcW w:w="1302" w:type="dxa"/>
            <w:tcBorders>
              <w:bottom w:val="single" w:sz="4" w:space="0" w:color="auto"/>
            </w:tcBorders>
          </w:tcPr>
          <w:p w14:paraId="6CB7F0B1" w14:textId="77777777" w:rsidR="003140C0" w:rsidRPr="00973AF7" w:rsidRDefault="003140C0" w:rsidP="00C72836">
            <w:pPr>
              <w:pStyle w:val="Initiativefigures"/>
              <w:rPr>
                <w:b/>
                <w:bCs/>
              </w:rPr>
            </w:pPr>
            <w:r w:rsidRPr="00973AF7">
              <w:rPr>
                <w:b/>
                <w:bCs/>
              </w:rPr>
              <w:t xml:space="preserve">Total </w:t>
            </w:r>
          </w:p>
          <w:p w14:paraId="6799983B" w14:textId="77777777" w:rsidR="003140C0" w:rsidRPr="00973AF7" w:rsidRDefault="003140C0" w:rsidP="00C72836">
            <w:pPr>
              <w:pStyle w:val="Initiativefigures"/>
              <w:rPr>
                <w:b/>
                <w:bCs/>
              </w:rPr>
            </w:pPr>
            <w:r w:rsidRPr="00973AF7">
              <w:rPr>
                <w:b/>
                <w:bCs/>
              </w:rPr>
              <w:t>$’000</w:t>
            </w:r>
          </w:p>
        </w:tc>
      </w:tr>
      <w:tr w:rsidR="003140C0" w:rsidRPr="00973AF7" w14:paraId="32016A28" w14:textId="77777777" w:rsidTr="00C72836">
        <w:tc>
          <w:tcPr>
            <w:tcW w:w="2510" w:type="dxa"/>
            <w:tcBorders>
              <w:bottom w:val="nil"/>
            </w:tcBorders>
          </w:tcPr>
          <w:p w14:paraId="5164D933" w14:textId="77777777" w:rsidR="003140C0" w:rsidRPr="00973AF7" w:rsidRDefault="003140C0" w:rsidP="00C72836">
            <w:pPr>
              <w:pStyle w:val="Initiativetext"/>
            </w:pPr>
            <w:r w:rsidRPr="00973AF7">
              <w:t>Expense</w:t>
            </w:r>
          </w:p>
        </w:tc>
        <w:tc>
          <w:tcPr>
            <w:tcW w:w="1301" w:type="dxa"/>
            <w:tcBorders>
              <w:bottom w:val="nil"/>
            </w:tcBorders>
          </w:tcPr>
          <w:p w14:paraId="24ED6C18" w14:textId="77777777" w:rsidR="003140C0" w:rsidRPr="00973AF7" w:rsidRDefault="003140C0" w:rsidP="00C72836">
            <w:pPr>
              <w:pStyle w:val="Initiativefigures"/>
            </w:pPr>
            <w:r w:rsidRPr="00973AF7">
              <w:t>5,000</w:t>
            </w:r>
          </w:p>
        </w:tc>
        <w:tc>
          <w:tcPr>
            <w:tcW w:w="1301" w:type="dxa"/>
            <w:tcBorders>
              <w:bottom w:val="nil"/>
            </w:tcBorders>
          </w:tcPr>
          <w:p w14:paraId="4358A425" w14:textId="77777777" w:rsidR="003140C0" w:rsidRPr="00973AF7" w:rsidRDefault="003140C0" w:rsidP="00C72836">
            <w:pPr>
              <w:pStyle w:val="Initiativefigures"/>
            </w:pPr>
            <w:r w:rsidRPr="00973AF7">
              <w:t>23,000</w:t>
            </w:r>
          </w:p>
        </w:tc>
        <w:tc>
          <w:tcPr>
            <w:tcW w:w="1301" w:type="dxa"/>
            <w:tcBorders>
              <w:bottom w:val="nil"/>
            </w:tcBorders>
          </w:tcPr>
          <w:p w14:paraId="3A9DE799" w14:textId="77777777" w:rsidR="003140C0" w:rsidRPr="00973AF7" w:rsidRDefault="003140C0" w:rsidP="00C72836">
            <w:pPr>
              <w:pStyle w:val="Initiativefigures"/>
            </w:pPr>
            <w:r w:rsidRPr="00973AF7">
              <w:t>0</w:t>
            </w:r>
          </w:p>
        </w:tc>
        <w:tc>
          <w:tcPr>
            <w:tcW w:w="1301" w:type="dxa"/>
            <w:tcBorders>
              <w:bottom w:val="nil"/>
            </w:tcBorders>
          </w:tcPr>
          <w:p w14:paraId="56CAAF59" w14:textId="77777777" w:rsidR="003140C0" w:rsidRPr="00973AF7" w:rsidRDefault="003140C0" w:rsidP="00C72836">
            <w:pPr>
              <w:pStyle w:val="Initiativefigures"/>
            </w:pPr>
            <w:r w:rsidRPr="00973AF7">
              <w:t>0</w:t>
            </w:r>
          </w:p>
        </w:tc>
        <w:tc>
          <w:tcPr>
            <w:tcW w:w="1302" w:type="dxa"/>
            <w:tcBorders>
              <w:bottom w:val="nil"/>
            </w:tcBorders>
          </w:tcPr>
          <w:p w14:paraId="38B5D036" w14:textId="77777777" w:rsidR="003140C0" w:rsidRPr="00973AF7" w:rsidRDefault="003140C0" w:rsidP="00C72836">
            <w:pPr>
              <w:pStyle w:val="Initiativefigures"/>
              <w:rPr>
                <w:b/>
                <w:bCs/>
              </w:rPr>
            </w:pPr>
            <w:r w:rsidRPr="00973AF7">
              <w:rPr>
                <w:b/>
                <w:bCs/>
              </w:rPr>
              <w:t>28,000</w:t>
            </w:r>
          </w:p>
        </w:tc>
      </w:tr>
      <w:tr w:rsidR="003140C0" w:rsidRPr="00973AF7" w14:paraId="3FB982A8" w14:textId="77777777" w:rsidTr="00C72836">
        <w:tc>
          <w:tcPr>
            <w:tcW w:w="2510" w:type="dxa"/>
            <w:tcBorders>
              <w:top w:val="nil"/>
              <w:bottom w:val="single" w:sz="4" w:space="0" w:color="auto"/>
            </w:tcBorders>
          </w:tcPr>
          <w:p w14:paraId="7B523F65" w14:textId="7D7E52BF" w:rsidR="003140C0" w:rsidRPr="00973AF7" w:rsidRDefault="003140C0" w:rsidP="00C72836">
            <w:pPr>
              <w:pStyle w:val="Initiativetext"/>
            </w:pPr>
            <w:r w:rsidRPr="00973AF7">
              <w:t xml:space="preserve">Offset – </w:t>
            </w:r>
            <w:r w:rsidR="003D74C5">
              <w:t>e</w:t>
            </w:r>
            <w:r w:rsidRPr="00973AF7">
              <w:t>xpense</w:t>
            </w:r>
          </w:p>
        </w:tc>
        <w:tc>
          <w:tcPr>
            <w:tcW w:w="1301" w:type="dxa"/>
            <w:tcBorders>
              <w:top w:val="nil"/>
              <w:bottom w:val="single" w:sz="4" w:space="0" w:color="auto"/>
            </w:tcBorders>
          </w:tcPr>
          <w:p w14:paraId="1D56EEBE" w14:textId="77777777" w:rsidR="003140C0" w:rsidRPr="00973AF7" w:rsidRDefault="003140C0" w:rsidP="00C72836">
            <w:pPr>
              <w:pStyle w:val="Initiativefigures"/>
            </w:pPr>
            <w:r w:rsidRPr="00973AF7">
              <w:t>0</w:t>
            </w:r>
          </w:p>
        </w:tc>
        <w:tc>
          <w:tcPr>
            <w:tcW w:w="1301" w:type="dxa"/>
            <w:tcBorders>
              <w:top w:val="nil"/>
              <w:bottom w:val="single" w:sz="4" w:space="0" w:color="auto"/>
            </w:tcBorders>
          </w:tcPr>
          <w:p w14:paraId="2B11BBFA" w14:textId="77777777" w:rsidR="003140C0" w:rsidRPr="00973AF7" w:rsidDel="008D562D" w:rsidRDefault="003140C0" w:rsidP="00C72836">
            <w:pPr>
              <w:pStyle w:val="Initiativefigures"/>
            </w:pPr>
            <w:r w:rsidRPr="00973AF7">
              <w:t>-3,000</w:t>
            </w:r>
          </w:p>
        </w:tc>
        <w:tc>
          <w:tcPr>
            <w:tcW w:w="1301" w:type="dxa"/>
            <w:tcBorders>
              <w:top w:val="nil"/>
              <w:bottom w:val="single" w:sz="4" w:space="0" w:color="auto"/>
            </w:tcBorders>
          </w:tcPr>
          <w:p w14:paraId="62652E33" w14:textId="77777777" w:rsidR="003140C0" w:rsidRPr="00973AF7" w:rsidRDefault="003140C0" w:rsidP="00C72836">
            <w:pPr>
              <w:pStyle w:val="Initiativefigures"/>
            </w:pPr>
            <w:r w:rsidRPr="00973AF7">
              <w:t>0</w:t>
            </w:r>
          </w:p>
        </w:tc>
        <w:tc>
          <w:tcPr>
            <w:tcW w:w="1301" w:type="dxa"/>
            <w:tcBorders>
              <w:top w:val="nil"/>
              <w:bottom w:val="single" w:sz="4" w:space="0" w:color="auto"/>
            </w:tcBorders>
          </w:tcPr>
          <w:p w14:paraId="5EAA4633" w14:textId="77777777" w:rsidR="003140C0" w:rsidRPr="00973AF7" w:rsidRDefault="003140C0" w:rsidP="00C72836">
            <w:pPr>
              <w:pStyle w:val="Initiativefigures"/>
            </w:pPr>
            <w:r w:rsidRPr="00973AF7">
              <w:t>0</w:t>
            </w:r>
          </w:p>
        </w:tc>
        <w:tc>
          <w:tcPr>
            <w:tcW w:w="1302" w:type="dxa"/>
            <w:tcBorders>
              <w:top w:val="nil"/>
              <w:bottom w:val="single" w:sz="4" w:space="0" w:color="auto"/>
            </w:tcBorders>
          </w:tcPr>
          <w:p w14:paraId="4553ED0A" w14:textId="77777777" w:rsidR="003140C0" w:rsidRPr="00973AF7" w:rsidRDefault="003140C0" w:rsidP="00C72836">
            <w:pPr>
              <w:pStyle w:val="Initiativefigures"/>
              <w:rPr>
                <w:b/>
                <w:bCs/>
              </w:rPr>
            </w:pPr>
            <w:r w:rsidRPr="00973AF7">
              <w:rPr>
                <w:b/>
                <w:bCs/>
              </w:rPr>
              <w:t>-3,000</w:t>
            </w:r>
          </w:p>
        </w:tc>
      </w:tr>
    </w:tbl>
    <w:p w14:paraId="12AD2FA8" w14:textId="26DD2BE6" w:rsidR="00A72A37" w:rsidRDefault="003140C0" w:rsidP="003140C0">
      <w:pPr>
        <w:pStyle w:val="Bbodytext"/>
      </w:pPr>
      <w:r w:rsidRPr="00973AF7">
        <w:t xml:space="preserve">The Government </w:t>
      </w:r>
      <w:r w:rsidR="00A72A37">
        <w:t>has</w:t>
      </w:r>
      <w:r w:rsidR="00A72A37" w:rsidRPr="00973AF7">
        <w:t xml:space="preserve"> </w:t>
      </w:r>
      <w:r w:rsidRPr="00973AF7">
        <w:t>establish</w:t>
      </w:r>
      <w:r w:rsidR="00A72A37">
        <w:t>ed</w:t>
      </w:r>
      <w:r w:rsidRPr="00973AF7">
        <w:t xml:space="preserve"> the Jobs for Canberrans Fund to allow the ACTPS to employ additional workers on short-term contracts to help deliver projects and programs of benefit to the Canberra community</w:t>
      </w:r>
      <w:r w:rsidR="00473880">
        <w:t xml:space="preserve">. </w:t>
      </w:r>
    </w:p>
    <w:p w14:paraId="03734AAB" w14:textId="208578A6" w:rsidR="00A72A37" w:rsidRDefault="003140C0" w:rsidP="003140C0">
      <w:pPr>
        <w:pStyle w:val="Bbodytext"/>
      </w:pPr>
      <w:r w:rsidRPr="00973AF7">
        <w:t>This provide</w:t>
      </w:r>
      <w:r w:rsidR="00A72A37">
        <w:t>s</w:t>
      </w:r>
      <w:r w:rsidRPr="00973AF7">
        <w:t xml:space="preserve"> opportunities for those in the casual workforce</w:t>
      </w:r>
      <w:r w:rsidR="00993334">
        <w:t>,</w:t>
      </w:r>
      <w:r w:rsidRPr="00973AF7">
        <w:t xml:space="preserve"> </w:t>
      </w:r>
      <w:r w:rsidR="00A72A37">
        <w:t xml:space="preserve">such as those who are excluded from </w:t>
      </w:r>
      <w:r w:rsidRPr="00973AF7">
        <w:t xml:space="preserve">the Commonwealth's </w:t>
      </w:r>
      <w:proofErr w:type="spellStart"/>
      <w:r w:rsidRPr="00973AF7">
        <w:t>JobKeeper</w:t>
      </w:r>
      <w:proofErr w:type="spellEnd"/>
      <w:r w:rsidRPr="00973AF7">
        <w:t xml:space="preserve"> wage subsidy program</w:t>
      </w:r>
      <w:r w:rsidR="00473880">
        <w:t xml:space="preserve">. </w:t>
      </w:r>
    </w:p>
    <w:p w14:paraId="4AD641B2" w14:textId="5224A855" w:rsidR="003140C0" w:rsidRPr="00973AF7" w:rsidRDefault="003140C0" w:rsidP="003140C0">
      <w:pPr>
        <w:pStyle w:val="Bbodytext"/>
      </w:pPr>
      <w:r w:rsidRPr="00973AF7">
        <w:t xml:space="preserve">Opportunities </w:t>
      </w:r>
      <w:r w:rsidR="00A72A37">
        <w:t xml:space="preserve">have been </w:t>
      </w:r>
      <w:r w:rsidRPr="00973AF7">
        <w:t>identified across the ACT Public Service and will focus on roles with minimal prerequisites that can be undertaken in a manner that is compliant with health restrictions</w:t>
      </w:r>
      <w:r w:rsidR="00473880">
        <w:t xml:space="preserve">. </w:t>
      </w:r>
    </w:p>
    <w:p w14:paraId="18A31B44" w14:textId="635A9B45" w:rsidR="003140C0" w:rsidRPr="00973AF7" w:rsidRDefault="003140C0" w:rsidP="003140C0">
      <w:pPr>
        <w:pStyle w:val="Bbodytext"/>
      </w:pPr>
      <w:r w:rsidRPr="00973AF7">
        <w:t>The expense offset relates to the reinvestment of an estimated $3 million from the Partnership on COVID-19 Response</w:t>
      </w:r>
      <w:r w:rsidR="00473880">
        <w:t xml:space="preserve">.  </w:t>
      </w:r>
    </w:p>
    <w:p w14:paraId="6E5B873C" w14:textId="58A1964B" w:rsidR="004A607F" w:rsidRPr="00973AF7" w:rsidRDefault="004A607F" w:rsidP="000373C6">
      <w:pPr>
        <w:pStyle w:val="Heading3"/>
      </w:pPr>
      <w:r w:rsidRPr="00973AF7">
        <w:t>Rapid rollout of ‘screwdriver ready’ minor capital works projects</w:t>
      </w:r>
      <w:r w:rsidR="00E75E69" w:rsidRPr="00973AF7">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471"/>
        <w:gridCol w:w="1355"/>
        <w:gridCol w:w="1297"/>
        <w:gridCol w:w="1273"/>
        <w:gridCol w:w="1273"/>
        <w:gridCol w:w="1357"/>
      </w:tblGrid>
      <w:tr w:rsidR="00BB150D" w:rsidRPr="00973AF7" w14:paraId="420ABCD0" w14:textId="77777777" w:rsidTr="00BB150D">
        <w:tc>
          <w:tcPr>
            <w:tcW w:w="2471" w:type="dxa"/>
            <w:tcBorders>
              <w:bottom w:val="single" w:sz="4" w:space="0" w:color="auto"/>
            </w:tcBorders>
          </w:tcPr>
          <w:p w14:paraId="769D5876" w14:textId="77777777" w:rsidR="00BB150D" w:rsidRPr="00973AF7" w:rsidRDefault="00BB150D" w:rsidP="00737E0A">
            <w:pPr>
              <w:pStyle w:val="Initiativefigures"/>
            </w:pPr>
          </w:p>
        </w:tc>
        <w:tc>
          <w:tcPr>
            <w:tcW w:w="1355" w:type="dxa"/>
            <w:tcBorders>
              <w:bottom w:val="single" w:sz="4" w:space="0" w:color="auto"/>
            </w:tcBorders>
          </w:tcPr>
          <w:p w14:paraId="0D579C49" w14:textId="77777777" w:rsidR="00BB150D" w:rsidRPr="00973AF7" w:rsidRDefault="00BB150D" w:rsidP="00737E0A">
            <w:pPr>
              <w:pStyle w:val="Initiativefigures"/>
            </w:pPr>
            <w:r w:rsidRPr="00973AF7">
              <w:t>2019-20</w:t>
            </w:r>
          </w:p>
          <w:p w14:paraId="751341E8" w14:textId="77777777" w:rsidR="00BB150D" w:rsidRPr="00973AF7" w:rsidRDefault="00BB150D" w:rsidP="00737E0A">
            <w:pPr>
              <w:pStyle w:val="Initiativefigures"/>
            </w:pPr>
            <w:r w:rsidRPr="00973AF7">
              <w:t>$’000</w:t>
            </w:r>
          </w:p>
        </w:tc>
        <w:tc>
          <w:tcPr>
            <w:tcW w:w="1297" w:type="dxa"/>
            <w:tcBorders>
              <w:bottom w:val="single" w:sz="4" w:space="0" w:color="auto"/>
            </w:tcBorders>
          </w:tcPr>
          <w:p w14:paraId="7ED4539E" w14:textId="77777777" w:rsidR="00BB150D" w:rsidRPr="00973AF7" w:rsidRDefault="00BB150D" w:rsidP="00737E0A">
            <w:pPr>
              <w:pStyle w:val="Initiativefigures"/>
            </w:pPr>
            <w:r w:rsidRPr="00973AF7">
              <w:t>2020-21</w:t>
            </w:r>
          </w:p>
          <w:p w14:paraId="3298DBCC" w14:textId="77777777" w:rsidR="00BB150D" w:rsidRPr="00973AF7" w:rsidRDefault="00BB150D" w:rsidP="00737E0A">
            <w:pPr>
              <w:pStyle w:val="Initiativefigures"/>
            </w:pPr>
            <w:r w:rsidRPr="00973AF7">
              <w:t>$’000</w:t>
            </w:r>
          </w:p>
        </w:tc>
        <w:tc>
          <w:tcPr>
            <w:tcW w:w="1273" w:type="dxa"/>
            <w:tcBorders>
              <w:bottom w:val="single" w:sz="4" w:space="0" w:color="auto"/>
            </w:tcBorders>
          </w:tcPr>
          <w:p w14:paraId="2D34DD47" w14:textId="77777777" w:rsidR="00BB150D" w:rsidRPr="00973AF7" w:rsidRDefault="00BB150D" w:rsidP="00737E0A">
            <w:pPr>
              <w:pStyle w:val="Initiativefigures"/>
            </w:pPr>
            <w:r w:rsidRPr="00973AF7">
              <w:t>2021-22</w:t>
            </w:r>
          </w:p>
          <w:p w14:paraId="6019C129" w14:textId="77777777" w:rsidR="00BB150D" w:rsidRPr="00973AF7" w:rsidRDefault="00BB150D" w:rsidP="00737E0A">
            <w:pPr>
              <w:pStyle w:val="Initiativefigures"/>
            </w:pPr>
            <w:r w:rsidRPr="00973AF7">
              <w:t>$’000</w:t>
            </w:r>
          </w:p>
        </w:tc>
        <w:tc>
          <w:tcPr>
            <w:tcW w:w="1273" w:type="dxa"/>
            <w:tcBorders>
              <w:bottom w:val="single" w:sz="4" w:space="0" w:color="auto"/>
            </w:tcBorders>
          </w:tcPr>
          <w:p w14:paraId="57142FF7" w14:textId="77777777" w:rsidR="00BB150D" w:rsidRPr="00973AF7" w:rsidRDefault="00BB150D" w:rsidP="00737E0A">
            <w:pPr>
              <w:pStyle w:val="Initiativefigures"/>
            </w:pPr>
            <w:r w:rsidRPr="00973AF7">
              <w:t>2022-23</w:t>
            </w:r>
          </w:p>
          <w:p w14:paraId="3C80EA0D" w14:textId="77777777" w:rsidR="00BB150D" w:rsidRPr="00973AF7" w:rsidRDefault="00BB150D" w:rsidP="00737E0A">
            <w:pPr>
              <w:pStyle w:val="Initiativefigures"/>
            </w:pPr>
            <w:r w:rsidRPr="00973AF7">
              <w:t>$’000</w:t>
            </w:r>
          </w:p>
        </w:tc>
        <w:tc>
          <w:tcPr>
            <w:tcW w:w="1357" w:type="dxa"/>
            <w:tcBorders>
              <w:bottom w:val="single" w:sz="4" w:space="0" w:color="auto"/>
            </w:tcBorders>
          </w:tcPr>
          <w:p w14:paraId="389FCDF7" w14:textId="77777777" w:rsidR="00BB150D" w:rsidRPr="00973AF7" w:rsidRDefault="00BB150D" w:rsidP="00737E0A">
            <w:pPr>
              <w:pStyle w:val="Initiativefigures"/>
              <w:rPr>
                <w:b/>
                <w:bCs/>
              </w:rPr>
            </w:pPr>
            <w:r w:rsidRPr="00973AF7">
              <w:rPr>
                <w:b/>
                <w:bCs/>
              </w:rPr>
              <w:t xml:space="preserve">Total </w:t>
            </w:r>
          </w:p>
          <w:p w14:paraId="65AD3D04" w14:textId="77777777" w:rsidR="00BB150D" w:rsidRPr="00973AF7" w:rsidRDefault="00BB150D" w:rsidP="00737E0A">
            <w:pPr>
              <w:pStyle w:val="Initiativefigures"/>
              <w:rPr>
                <w:b/>
                <w:bCs/>
              </w:rPr>
            </w:pPr>
            <w:r w:rsidRPr="00973AF7">
              <w:rPr>
                <w:b/>
                <w:bCs/>
              </w:rPr>
              <w:t>$’000</w:t>
            </w:r>
          </w:p>
        </w:tc>
      </w:tr>
      <w:tr w:rsidR="00BB150D" w:rsidRPr="00973AF7" w14:paraId="741D4D2F" w14:textId="77777777" w:rsidTr="00BB150D">
        <w:tc>
          <w:tcPr>
            <w:tcW w:w="2471" w:type="dxa"/>
          </w:tcPr>
          <w:p w14:paraId="30FA42CB" w14:textId="77777777" w:rsidR="00BB150D" w:rsidRPr="00973AF7" w:rsidRDefault="00BB150D" w:rsidP="00737E0A">
            <w:pPr>
              <w:pStyle w:val="Initiativetext"/>
            </w:pPr>
            <w:r w:rsidRPr="00973AF7">
              <w:t>Capital</w:t>
            </w:r>
          </w:p>
        </w:tc>
        <w:tc>
          <w:tcPr>
            <w:tcW w:w="1355" w:type="dxa"/>
          </w:tcPr>
          <w:p w14:paraId="0BE12750" w14:textId="77777777" w:rsidR="00BB150D" w:rsidRPr="00973AF7" w:rsidRDefault="00BB150D" w:rsidP="00737E0A">
            <w:pPr>
              <w:pStyle w:val="Initiativefigures"/>
            </w:pPr>
            <w:r w:rsidRPr="00973AF7">
              <w:t>20,000</w:t>
            </w:r>
          </w:p>
        </w:tc>
        <w:tc>
          <w:tcPr>
            <w:tcW w:w="1297" w:type="dxa"/>
          </w:tcPr>
          <w:p w14:paraId="57ADD911" w14:textId="77777777" w:rsidR="00BB150D" w:rsidRPr="00973AF7" w:rsidRDefault="00BB150D" w:rsidP="00737E0A">
            <w:pPr>
              <w:pStyle w:val="Initiativefigures"/>
            </w:pPr>
            <w:r w:rsidRPr="00973AF7">
              <w:t>8,000</w:t>
            </w:r>
          </w:p>
        </w:tc>
        <w:tc>
          <w:tcPr>
            <w:tcW w:w="1273" w:type="dxa"/>
          </w:tcPr>
          <w:p w14:paraId="436D3313" w14:textId="77777777" w:rsidR="00BB150D" w:rsidRPr="00973AF7" w:rsidRDefault="00BB150D" w:rsidP="00737E0A">
            <w:pPr>
              <w:pStyle w:val="Initiativefigures"/>
            </w:pPr>
            <w:r w:rsidRPr="00973AF7">
              <w:t>0</w:t>
            </w:r>
          </w:p>
        </w:tc>
        <w:tc>
          <w:tcPr>
            <w:tcW w:w="1273" w:type="dxa"/>
          </w:tcPr>
          <w:p w14:paraId="4F4D27D5" w14:textId="77777777" w:rsidR="00BB150D" w:rsidRPr="00973AF7" w:rsidRDefault="00BB150D" w:rsidP="00737E0A">
            <w:pPr>
              <w:pStyle w:val="Initiativefigures"/>
            </w:pPr>
            <w:r w:rsidRPr="00973AF7">
              <w:t>0</w:t>
            </w:r>
          </w:p>
        </w:tc>
        <w:tc>
          <w:tcPr>
            <w:tcW w:w="1357" w:type="dxa"/>
          </w:tcPr>
          <w:p w14:paraId="5DFDFE9A" w14:textId="77777777" w:rsidR="00BB150D" w:rsidRPr="00973AF7" w:rsidRDefault="00BB150D" w:rsidP="00737E0A">
            <w:pPr>
              <w:pStyle w:val="Initiativefigures"/>
              <w:rPr>
                <w:b/>
                <w:bCs/>
              </w:rPr>
            </w:pPr>
            <w:r w:rsidRPr="00973AF7">
              <w:rPr>
                <w:b/>
                <w:bCs/>
              </w:rPr>
              <w:t>28,000</w:t>
            </w:r>
          </w:p>
        </w:tc>
      </w:tr>
      <w:tr w:rsidR="00BB150D" w:rsidRPr="00973AF7" w14:paraId="26F8B3CF" w14:textId="77777777" w:rsidTr="00BB150D">
        <w:tc>
          <w:tcPr>
            <w:tcW w:w="2471" w:type="dxa"/>
            <w:tcBorders>
              <w:bottom w:val="single" w:sz="4" w:space="0" w:color="auto"/>
            </w:tcBorders>
          </w:tcPr>
          <w:p w14:paraId="2326EBDA" w14:textId="77777777" w:rsidR="00BB150D" w:rsidRPr="00973AF7" w:rsidRDefault="00BB150D" w:rsidP="00737E0A">
            <w:pPr>
              <w:pStyle w:val="Initiativetext"/>
            </w:pPr>
            <w:r w:rsidRPr="00973AF7">
              <w:t>Expense</w:t>
            </w:r>
          </w:p>
        </w:tc>
        <w:tc>
          <w:tcPr>
            <w:tcW w:w="1355" w:type="dxa"/>
            <w:tcBorders>
              <w:bottom w:val="single" w:sz="4" w:space="0" w:color="auto"/>
            </w:tcBorders>
          </w:tcPr>
          <w:p w14:paraId="2732D3B4" w14:textId="77777777" w:rsidR="00BB150D" w:rsidRPr="00973AF7" w:rsidRDefault="00BB150D" w:rsidP="00737E0A">
            <w:pPr>
              <w:pStyle w:val="Initiativefigures"/>
            </w:pPr>
            <w:r w:rsidRPr="00973AF7">
              <w:t>5,000</w:t>
            </w:r>
          </w:p>
        </w:tc>
        <w:tc>
          <w:tcPr>
            <w:tcW w:w="1297" w:type="dxa"/>
            <w:tcBorders>
              <w:bottom w:val="single" w:sz="4" w:space="0" w:color="auto"/>
            </w:tcBorders>
          </w:tcPr>
          <w:p w14:paraId="63F05B22" w14:textId="77777777" w:rsidR="00BB150D" w:rsidRPr="00973AF7" w:rsidRDefault="00BB150D" w:rsidP="00737E0A">
            <w:pPr>
              <w:pStyle w:val="Initiativefigures"/>
            </w:pPr>
            <w:r w:rsidRPr="00973AF7">
              <w:t>2,000</w:t>
            </w:r>
          </w:p>
        </w:tc>
        <w:tc>
          <w:tcPr>
            <w:tcW w:w="1273" w:type="dxa"/>
            <w:tcBorders>
              <w:bottom w:val="single" w:sz="4" w:space="0" w:color="auto"/>
            </w:tcBorders>
          </w:tcPr>
          <w:p w14:paraId="16E510C7" w14:textId="77777777" w:rsidR="00BB150D" w:rsidRPr="00973AF7" w:rsidRDefault="00BB150D" w:rsidP="00737E0A">
            <w:pPr>
              <w:pStyle w:val="Initiativefigures"/>
            </w:pPr>
            <w:r w:rsidRPr="00973AF7">
              <w:t>0</w:t>
            </w:r>
          </w:p>
        </w:tc>
        <w:tc>
          <w:tcPr>
            <w:tcW w:w="1273" w:type="dxa"/>
            <w:tcBorders>
              <w:bottom w:val="single" w:sz="4" w:space="0" w:color="auto"/>
            </w:tcBorders>
          </w:tcPr>
          <w:p w14:paraId="6CC16B92" w14:textId="77777777" w:rsidR="00BB150D" w:rsidRPr="00973AF7" w:rsidRDefault="00BB150D" w:rsidP="00737E0A">
            <w:pPr>
              <w:pStyle w:val="Initiativefigures"/>
            </w:pPr>
            <w:r w:rsidRPr="00973AF7">
              <w:t>0</w:t>
            </w:r>
          </w:p>
        </w:tc>
        <w:tc>
          <w:tcPr>
            <w:tcW w:w="1357" w:type="dxa"/>
            <w:tcBorders>
              <w:bottom w:val="single" w:sz="4" w:space="0" w:color="auto"/>
            </w:tcBorders>
          </w:tcPr>
          <w:p w14:paraId="5348B29B" w14:textId="77777777" w:rsidR="00BB150D" w:rsidRPr="00973AF7" w:rsidRDefault="00BB150D" w:rsidP="00737E0A">
            <w:pPr>
              <w:pStyle w:val="Initiativefigures"/>
              <w:rPr>
                <w:b/>
                <w:bCs/>
              </w:rPr>
            </w:pPr>
            <w:r w:rsidRPr="00973AF7">
              <w:rPr>
                <w:b/>
                <w:bCs/>
              </w:rPr>
              <w:t>7,000</w:t>
            </w:r>
          </w:p>
        </w:tc>
      </w:tr>
    </w:tbl>
    <w:p w14:paraId="57E6AF07" w14:textId="40A04057" w:rsidR="004A607F" w:rsidRPr="00973AF7" w:rsidRDefault="004A607F" w:rsidP="008D562D">
      <w:pPr>
        <w:pStyle w:val="Bbodytext"/>
      </w:pPr>
      <w:r w:rsidRPr="00973AF7">
        <w:t xml:space="preserve">The Government </w:t>
      </w:r>
      <w:r w:rsidR="00E24A83">
        <w:t>is</w:t>
      </w:r>
      <w:r w:rsidR="00E24A83" w:rsidRPr="00973AF7">
        <w:t xml:space="preserve"> </w:t>
      </w:r>
      <w:r w:rsidRPr="00973AF7">
        <w:t>provid</w:t>
      </w:r>
      <w:r w:rsidR="00E24A83">
        <w:t>ing</w:t>
      </w:r>
      <w:r w:rsidRPr="00973AF7">
        <w:t xml:space="preserve"> $</w:t>
      </w:r>
      <w:r w:rsidR="00F50E9A" w:rsidRPr="00973AF7">
        <w:t>3</w:t>
      </w:r>
      <w:r w:rsidR="0049122C" w:rsidRPr="00973AF7">
        <w:t>5</w:t>
      </w:r>
      <w:r w:rsidRPr="00973AF7">
        <w:t xml:space="preserve"> million for minor capital works projects to provide immediate support for small and medium-sized local businesses</w:t>
      </w:r>
      <w:r w:rsidR="00473880">
        <w:t xml:space="preserve">. </w:t>
      </w:r>
      <w:r w:rsidRPr="00973AF7">
        <w:t>The</w:t>
      </w:r>
      <w:r w:rsidR="00F50E9A" w:rsidRPr="00973AF7">
        <w:t xml:space="preserve"> 2019-20</w:t>
      </w:r>
      <w:r w:rsidRPr="00973AF7">
        <w:t xml:space="preserve"> program relates to works that can start immediately, be undertaken using local suppliers and workers, and whether they can be undertaken within social distancing requirements</w:t>
      </w:r>
      <w:r w:rsidR="00473880">
        <w:t xml:space="preserve">. </w:t>
      </w:r>
      <w:r w:rsidR="00F50E9A" w:rsidRPr="00973AF7">
        <w:t>The 2020-21 program builds on the success of the 2019-20 activities and will also provide $2 million for early planning and design works for longer-term projects</w:t>
      </w:r>
      <w:r w:rsidR="00473880">
        <w:t xml:space="preserve">. </w:t>
      </w:r>
    </w:p>
    <w:p w14:paraId="7FEF3601" w14:textId="30903A14" w:rsidR="00BB150D" w:rsidRPr="00973AF7" w:rsidRDefault="00BB150D" w:rsidP="00BB150D">
      <w:pPr>
        <w:pStyle w:val="Bbodytext"/>
        <w:rPr>
          <w:rStyle w:val="Emphasis"/>
          <w:i w:val="0"/>
          <w:iCs w:val="0"/>
        </w:rPr>
      </w:pPr>
      <w:r w:rsidRPr="00973AF7">
        <w:t>The expense component of this initiative relates to expenditures that cannot be capitalised</w:t>
      </w:r>
      <w:r w:rsidR="00473880">
        <w:t xml:space="preserve">.  </w:t>
      </w:r>
    </w:p>
    <w:p w14:paraId="4194AE4A" w14:textId="77777777" w:rsidR="00BB150D" w:rsidRPr="00973AF7" w:rsidRDefault="00BB150D" w:rsidP="008D562D">
      <w:pPr>
        <w:pStyle w:val="Bbodytext"/>
        <w:rPr>
          <w:rStyle w:val="Emphasis"/>
          <w:i w:val="0"/>
          <w:iCs w:val="0"/>
        </w:rPr>
      </w:pPr>
    </w:p>
    <w:p w14:paraId="1DB2234A" w14:textId="77777777" w:rsidR="00662538" w:rsidRPr="00973AF7" w:rsidRDefault="00662538" w:rsidP="00280816">
      <w:pPr>
        <w:pStyle w:val="Heading3"/>
      </w:pPr>
      <w:r w:rsidRPr="00973AF7">
        <w:lastRenderedPageBreak/>
        <w:t xml:space="preserve">Rollover of contracts for any casual or contracted ACTPS staff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A0D40" w:rsidRPr="00973AF7" w14:paraId="1F81E0D0" w14:textId="77777777" w:rsidTr="007F153E">
        <w:tc>
          <w:tcPr>
            <w:tcW w:w="2510" w:type="dxa"/>
            <w:tcBorders>
              <w:bottom w:val="single" w:sz="4" w:space="0" w:color="auto"/>
            </w:tcBorders>
          </w:tcPr>
          <w:p w14:paraId="5600A241" w14:textId="77777777" w:rsidR="007A0D40" w:rsidRPr="00973AF7" w:rsidRDefault="007A0D40" w:rsidP="00B40D84">
            <w:pPr>
              <w:pStyle w:val="Initiativefigures"/>
              <w:keepNext/>
              <w:keepLines/>
            </w:pPr>
            <w:bookmarkStart w:id="9" w:name="_Hlk40777778"/>
          </w:p>
        </w:tc>
        <w:tc>
          <w:tcPr>
            <w:tcW w:w="1301" w:type="dxa"/>
            <w:tcBorders>
              <w:bottom w:val="single" w:sz="4" w:space="0" w:color="auto"/>
            </w:tcBorders>
          </w:tcPr>
          <w:p w14:paraId="74323A69" w14:textId="77777777" w:rsidR="007A0D40" w:rsidRPr="00973AF7" w:rsidRDefault="007A0D40" w:rsidP="00B40D84">
            <w:pPr>
              <w:pStyle w:val="Initiativefigures"/>
              <w:keepNext/>
              <w:keepLines/>
            </w:pPr>
            <w:r w:rsidRPr="00973AF7">
              <w:t>2019-20</w:t>
            </w:r>
          </w:p>
          <w:p w14:paraId="27D7DC4C" w14:textId="45F7C761" w:rsidR="007A0D40" w:rsidRPr="00973AF7" w:rsidRDefault="007A0D40" w:rsidP="00B40D84">
            <w:pPr>
              <w:pStyle w:val="Initiativefigures"/>
              <w:keepNext/>
              <w:keepLines/>
            </w:pPr>
            <w:r w:rsidRPr="00973AF7">
              <w:t>$’000</w:t>
            </w:r>
          </w:p>
        </w:tc>
        <w:tc>
          <w:tcPr>
            <w:tcW w:w="1301" w:type="dxa"/>
            <w:tcBorders>
              <w:bottom w:val="single" w:sz="4" w:space="0" w:color="auto"/>
            </w:tcBorders>
          </w:tcPr>
          <w:p w14:paraId="5A958DA9" w14:textId="77777777" w:rsidR="007A0D40" w:rsidRPr="00973AF7" w:rsidRDefault="007A0D40" w:rsidP="00B40D84">
            <w:pPr>
              <w:pStyle w:val="Initiativefigures"/>
              <w:keepNext/>
              <w:keepLines/>
            </w:pPr>
            <w:r w:rsidRPr="00973AF7">
              <w:t>2020-21</w:t>
            </w:r>
          </w:p>
          <w:p w14:paraId="53808DDE" w14:textId="36687C43" w:rsidR="007A0D40" w:rsidRPr="00973AF7" w:rsidRDefault="007A0D40" w:rsidP="00B40D84">
            <w:pPr>
              <w:pStyle w:val="Initiativefigures"/>
              <w:keepNext/>
              <w:keepLines/>
            </w:pPr>
            <w:r w:rsidRPr="00973AF7">
              <w:t>$’000</w:t>
            </w:r>
          </w:p>
        </w:tc>
        <w:tc>
          <w:tcPr>
            <w:tcW w:w="1301" w:type="dxa"/>
            <w:tcBorders>
              <w:bottom w:val="single" w:sz="4" w:space="0" w:color="auto"/>
            </w:tcBorders>
          </w:tcPr>
          <w:p w14:paraId="38E8B9D7" w14:textId="77777777" w:rsidR="007A0D40" w:rsidRPr="00973AF7" w:rsidRDefault="007A0D40" w:rsidP="00B40D84">
            <w:pPr>
              <w:pStyle w:val="Initiativefigures"/>
              <w:keepNext/>
              <w:keepLines/>
            </w:pPr>
            <w:r w:rsidRPr="00973AF7">
              <w:t>2021-22</w:t>
            </w:r>
          </w:p>
          <w:p w14:paraId="7CFD77DB" w14:textId="532E3662" w:rsidR="007A0D40" w:rsidRPr="00973AF7" w:rsidRDefault="007A0D40" w:rsidP="00B40D84">
            <w:pPr>
              <w:pStyle w:val="Initiativefigures"/>
              <w:keepNext/>
              <w:keepLines/>
            </w:pPr>
            <w:r w:rsidRPr="00973AF7">
              <w:t>$’000</w:t>
            </w:r>
          </w:p>
        </w:tc>
        <w:tc>
          <w:tcPr>
            <w:tcW w:w="1301" w:type="dxa"/>
            <w:tcBorders>
              <w:bottom w:val="single" w:sz="4" w:space="0" w:color="auto"/>
            </w:tcBorders>
          </w:tcPr>
          <w:p w14:paraId="454F810C" w14:textId="77777777" w:rsidR="007A0D40" w:rsidRPr="00973AF7" w:rsidRDefault="007A0D40" w:rsidP="00B40D84">
            <w:pPr>
              <w:pStyle w:val="Initiativefigures"/>
              <w:keepNext/>
              <w:keepLines/>
            </w:pPr>
            <w:r w:rsidRPr="00973AF7">
              <w:t>2022-23</w:t>
            </w:r>
          </w:p>
          <w:p w14:paraId="553C6061" w14:textId="16167185" w:rsidR="007A0D40" w:rsidRPr="00973AF7" w:rsidRDefault="007A0D40" w:rsidP="00B40D84">
            <w:pPr>
              <w:pStyle w:val="Initiativefigures"/>
              <w:keepNext/>
              <w:keepLines/>
            </w:pPr>
            <w:r w:rsidRPr="00973AF7">
              <w:t>$’000</w:t>
            </w:r>
          </w:p>
        </w:tc>
        <w:tc>
          <w:tcPr>
            <w:tcW w:w="1302" w:type="dxa"/>
            <w:tcBorders>
              <w:bottom w:val="single" w:sz="4" w:space="0" w:color="auto"/>
            </w:tcBorders>
          </w:tcPr>
          <w:p w14:paraId="058198B9" w14:textId="77777777" w:rsidR="007A0D40" w:rsidRPr="00973AF7" w:rsidRDefault="007A0D40" w:rsidP="00B40D84">
            <w:pPr>
              <w:pStyle w:val="Initiativefigures"/>
              <w:keepNext/>
              <w:keepLines/>
              <w:rPr>
                <w:b/>
                <w:bCs/>
              </w:rPr>
            </w:pPr>
            <w:r w:rsidRPr="00973AF7">
              <w:rPr>
                <w:b/>
                <w:bCs/>
              </w:rPr>
              <w:t xml:space="preserve">Total </w:t>
            </w:r>
          </w:p>
          <w:p w14:paraId="24104709" w14:textId="57CCB3D1" w:rsidR="007A0D40" w:rsidRPr="00973AF7" w:rsidRDefault="007A0D40" w:rsidP="00B40D84">
            <w:pPr>
              <w:pStyle w:val="Initiativefigures"/>
              <w:keepNext/>
              <w:keepLines/>
              <w:rPr>
                <w:b/>
                <w:bCs/>
              </w:rPr>
            </w:pPr>
            <w:r w:rsidRPr="00973AF7">
              <w:rPr>
                <w:b/>
                <w:bCs/>
              </w:rPr>
              <w:t>$’000</w:t>
            </w:r>
          </w:p>
        </w:tc>
      </w:tr>
      <w:tr w:rsidR="00662538" w:rsidRPr="00973AF7" w14:paraId="72166CA3" w14:textId="77777777" w:rsidTr="007F153E">
        <w:tc>
          <w:tcPr>
            <w:tcW w:w="2510" w:type="dxa"/>
            <w:tcBorders>
              <w:bottom w:val="single" w:sz="4" w:space="0" w:color="auto"/>
            </w:tcBorders>
          </w:tcPr>
          <w:p w14:paraId="549A5C69" w14:textId="716E2BB7" w:rsidR="00662538" w:rsidRPr="00973AF7" w:rsidRDefault="00662538" w:rsidP="00B40D84">
            <w:pPr>
              <w:pStyle w:val="Initiativetext"/>
              <w:keepNext/>
              <w:keepLines/>
            </w:pPr>
            <w:r w:rsidRPr="00973AF7">
              <w:t>Expense</w:t>
            </w:r>
          </w:p>
        </w:tc>
        <w:tc>
          <w:tcPr>
            <w:tcW w:w="1301" w:type="dxa"/>
            <w:tcBorders>
              <w:bottom w:val="single" w:sz="4" w:space="0" w:color="auto"/>
            </w:tcBorders>
          </w:tcPr>
          <w:p w14:paraId="40D8019C" w14:textId="3951B48A" w:rsidR="00662538" w:rsidRPr="00973AF7" w:rsidRDefault="00B40D84" w:rsidP="00B40D84">
            <w:pPr>
              <w:pStyle w:val="Initiativefigures"/>
              <w:keepNext/>
              <w:keepLines/>
            </w:pPr>
            <w:r w:rsidRPr="00973AF7">
              <w:t>~</w:t>
            </w:r>
          </w:p>
        </w:tc>
        <w:tc>
          <w:tcPr>
            <w:tcW w:w="1301" w:type="dxa"/>
            <w:tcBorders>
              <w:bottom w:val="single" w:sz="4" w:space="0" w:color="auto"/>
            </w:tcBorders>
          </w:tcPr>
          <w:p w14:paraId="39C292DE" w14:textId="0E87EB69" w:rsidR="00662538" w:rsidRPr="00973AF7" w:rsidRDefault="00B40D84" w:rsidP="00B40D84">
            <w:pPr>
              <w:pStyle w:val="Initiativefigures"/>
              <w:keepNext/>
              <w:keepLines/>
            </w:pPr>
            <w:r w:rsidRPr="00973AF7">
              <w:t>~</w:t>
            </w:r>
          </w:p>
        </w:tc>
        <w:tc>
          <w:tcPr>
            <w:tcW w:w="1301" w:type="dxa"/>
            <w:tcBorders>
              <w:bottom w:val="single" w:sz="4" w:space="0" w:color="auto"/>
            </w:tcBorders>
          </w:tcPr>
          <w:p w14:paraId="78891647" w14:textId="77777777" w:rsidR="00662538" w:rsidRPr="00973AF7" w:rsidRDefault="00662538" w:rsidP="00B40D84">
            <w:pPr>
              <w:pStyle w:val="Initiativefigures"/>
              <w:keepNext/>
              <w:keepLines/>
            </w:pPr>
            <w:r w:rsidRPr="00973AF7">
              <w:t>0</w:t>
            </w:r>
          </w:p>
        </w:tc>
        <w:tc>
          <w:tcPr>
            <w:tcW w:w="1301" w:type="dxa"/>
            <w:tcBorders>
              <w:bottom w:val="single" w:sz="4" w:space="0" w:color="auto"/>
            </w:tcBorders>
          </w:tcPr>
          <w:p w14:paraId="3E289482" w14:textId="77777777" w:rsidR="00662538" w:rsidRPr="00973AF7" w:rsidRDefault="00662538" w:rsidP="00B40D84">
            <w:pPr>
              <w:pStyle w:val="Initiativefigures"/>
              <w:keepNext/>
              <w:keepLines/>
            </w:pPr>
            <w:r w:rsidRPr="00973AF7">
              <w:t>0</w:t>
            </w:r>
          </w:p>
        </w:tc>
        <w:tc>
          <w:tcPr>
            <w:tcW w:w="1302" w:type="dxa"/>
            <w:tcBorders>
              <w:bottom w:val="single" w:sz="4" w:space="0" w:color="auto"/>
            </w:tcBorders>
          </w:tcPr>
          <w:p w14:paraId="35D61CAA" w14:textId="0F5EC422" w:rsidR="00662538" w:rsidRPr="00973AF7" w:rsidRDefault="00B40D84" w:rsidP="00B40D84">
            <w:pPr>
              <w:pStyle w:val="Initiativefigures"/>
              <w:keepNext/>
              <w:keepLines/>
              <w:rPr>
                <w:b/>
                <w:bCs/>
              </w:rPr>
            </w:pPr>
            <w:r w:rsidRPr="00973AF7">
              <w:rPr>
                <w:b/>
                <w:bCs/>
              </w:rPr>
              <w:t>~</w:t>
            </w:r>
          </w:p>
        </w:tc>
      </w:tr>
    </w:tbl>
    <w:bookmarkEnd w:id="9"/>
    <w:p w14:paraId="76482B64" w14:textId="292FE4C8" w:rsidR="00B40D84" w:rsidRPr="00973AF7" w:rsidRDefault="00B40D84" w:rsidP="00B40D84">
      <w:pPr>
        <w:pStyle w:val="Bbodytext"/>
        <w:keepNext/>
        <w:keepLines/>
      </w:pPr>
      <w:r w:rsidRPr="00973AF7">
        <w:t>The Government has committed to automatically extending staff employed under contracts in the ACTPS</w:t>
      </w:r>
      <w:r w:rsidR="00473880">
        <w:t xml:space="preserve">. </w:t>
      </w:r>
      <w:r w:rsidRPr="00973AF7">
        <w:t xml:space="preserve">This will provide job security during this difficult </w:t>
      </w:r>
      <w:r w:rsidR="00993334">
        <w:t>period</w:t>
      </w:r>
      <w:r w:rsidR="00473880">
        <w:t xml:space="preserve">. </w:t>
      </w:r>
    </w:p>
    <w:p w14:paraId="2034EB0B" w14:textId="77777777" w:rsidR="003140C0" w:rsidRPr="00973AF7" w:rsidRDefault="003140C0" w:rsidP="003140C0">
      <w:pPr>
        <w:pStyle w:val="Heading3"/>
      </w:pPr>
      <w:r w:rsidRPr="00973AF7">
        <w:t>Urban forest and other public realm maintenance functions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11A65B99" w14:textId="77777777" w:rsidTr="00C72836">
        <w:tc>
          <w:tcPr>
            <w:tcW w:w="2510" w:type="dxa"/>
            <w:tcBorders>
              <w:bottom w:val="single" w:sz="4" w:space="0" w:color="auto"/>
            </w:tcBorders>
          </w:tcPr>
          <w:p w14:paraId="2929DACA" w14:textId="77777777" w:rsidR="003140C0" w:rsidRPr="00973AF7" w:rsidRDefault="003140C0" w:rsidP="00C72836">
            <w:pPr>
              <w:pStyle w:val="Initiativefigures"/>
            </w:pPr>
          </w:p>
        </w:tc>
        <w:tc>
          <w:tcPr>
            <w:tcW w:w="1301" w:type="dxa"/>
            <w:tcBorders>
              <w:bottom w:val="single" w:sz="4" w:space="0" w:color="auto"/>
            </w:tcBorders>
          </w:tcPr>
          <w:p w14:paraId="45BB5066" w14:textId="77777777" w:rsidR="003140C0" w:rsidRPr="00973AF7" w:rsidRDefault="003140C0" w:rsidP="00C72836">
            <w:pPr>
              <w:pStyle w:val="Initiativefigures"/>
            </w:pPr>
            <w:r w:rsidRPr="00973AF7">
              <w:t>2019-20</w:t>
            </w:r>
          </w:p>
          <w:p w14:paraId="3E082ACD"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5A5EDAD4" w14:textId="77777777" w:rsidR="003140C0" w:rsidRPr="00973AF7" w:rsidRDefault="003140C0" w:rsidP="00C72836">
            <w:pPr>
              <w:pStyle w:val="Initiativefigures"/>
            </w:pPr>
            <w:r w:rsidRPr="00973AF7">
              <w:t>2020-21</w:t>
            </w:r>
          </w:p>
          <w:p w14:paraId="03FDE77D"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3EA64C2D" w14:textId="77777777" w:rsidR="003140C0" w:rsidRPr="00973AF7" w:rsidRDefault="003140C0" w:rsidP="00C72836">
            <w:pPr>
              <w:pStyle w:val="Initiativefigures"/>
            </w:pPr>
            <w:r w:rsidRPr="00973AF7">
              <w:t>2021-22</w:t>
            </w:r>
          </w:p>
          <w:p w14:paraId="0CC522CF" w14:textId="77777777" w:rsidR="003140C0" w:rsidRPr="00973AF7" w:rsidRDefault="003140C0" w:rsidP="00C72836">
            <w:pPr>
              <w:pStyle w:val="Initiativefigures"/>
            </w:pPr>
            <w:r w:rsidRPr="00973AF7">
              <w:t>$’000</w:t>
            </w:r>
          </w:p>
        </w:tc>
        <w:tc>
          <w:tcPr>
            <w:tcW w:w="1301" w:type="dxa"/>
            <w:tcBorders>
              <w:bottom w:val="single" w:sz="4" w:space="0" w:color="auto"/>
            </w:tcBorders>
          </w:tcPr>
          <w:p w14:paraId="01D5051E" w14:textId="77777777" w:rsidR="003140C0" w:rsidRPr="00973AF7" w:rsidRDefault="003140C0" w:rsidP="00C72836">
            <w:pPr>
              <w:pStyle w:val="Initiativefigures"/>
            </w:pPr>
            <w:r w:rsidRPr="00973AF7">
              <w:t>2022-23</w:t>
            </w:r>
          </w:p>
          <w:p w14:paraId="6431FFED" w14:textId="77777777" w:rsidR="003140C0" w:rsidRPr="00973AF7" w:rsidRDefault="003140C0" w:rsidP="00C72836">
            <w:pPr>
              <w:pStyle w:val="Initiativefigures"/>
            </w:pPr>
            <w:r w:rsidRPr="00973AF7">
              <w:t>$’000</w:t>
            </w:r>
          </w:p>
        </w:tc>
        <w:tc>
          <w:tcPr>
            <w:tcW w:w="1302" w:type="dxa"/>
            <w:tcBorders>
              <w:bottom w:val="single" w:sz="4" w:space="0" w:color="auto"/>
            </w:tcBorders>
          </w:tcPr>
          <w:p w14:paraId="6D34117F" w14:textId="77777777" w:rsidR="003140C0" w:rsidRPr="00973AF7" w:rsidRDefault="003140C0" w:rsidP="00C72836">
            <w:pPr>
              <w:pStyle w:val="Initiativefigures"/>
              <w:rPr>
                <w:b/>
                <w:bCs/>
              </w:rPr>
            </w:pPr>
            <w:r w:rsidRPr="00973AF7">
              <w:rPr>
                <w:b/>
                <w:bCs/>
              </w:rPr>
              <w:t xml:space="preserve">Total </w:t>
            </w:r>
          </w:p>
          <w:p w14:paraId="01902349" w14:textId="77777777" w:rsidR="003140C0" w:rsidRPr="00973AF7" w:rsidRDefault="003140C0" w:rsidP="00C72836">
            <w:pPr>
              <w:pStyle w:val="Initiativefigures"/>
              <w:rPr>
                <w:b/>
                <w:bCs/>
              </w:rPr>
            </w:pPr>
            <w:r w:rsidRPr="00973AF7">
              <w:rPr>
                <w:b/>
                <w:bCs/>
              </w:rPr>
              <w:t>$’000</w:t>
            </w:r>
          </w:p>
        </w:tc>
      </w:tr>
      <w:tr w:rsidR="003140C0" w:rsidRPr="00973AF7" w14:paraId="3E494688" w14:textId="77777777" w:rsidTr="00C72836">
        <w:tc>
          <w:tcPr>
            <w:tcW w:w="2510" w:type="dxa"/>
            <w:tcBorders>
              <w:bottom w:val="single" w:sz="4" w:space="0" w:color="auto"/>
            </w:tcBorders>
          </w:tcPr>
          <w:p w14:paraId="3614B947" w14:textId="77777777" w:rsidR="003140C0" w:rsidRPr="00973AF7" w:rsidRDefault="003140C0" w:rsidP="00C72836">
            <w:pPr>
              <w:pStyle w:val="Initiativetext"/>
            </w:pPr>
            <w:r w:rsidRPr="00973AF7">
              <w:t>Expense</w:t>
            </w:r>
          </w:p>
        </w:tc>
        <w:tc>
          <w:tcPr>
            <w:tcW w:w="1301" w:type="dxa"/>
            <w:tcBorders>
              <w:bottom w:val="single" w:sz="4" w:space="0" w:color="auto"/>
            </w:tcBorders>
          </w:tcPr>
          <w:p w14:paraId="54149CB7" w14:textId="77777777" w:rsidR="003140C0" w:rsidRPr="00973AF7" w:rsidRDefault="003140C0" w:rsidP="00C72836">
            <w:pPr>
              <w:pStyle w:val="Initiativefigures"/>
            </w:pPr>
            <w:r w:rsidRPr="00973AF7">
              <w:t>1,000</w:t>
            </w:r>
          </w:p>
        </w:tc>
        <w:tc>
          <w:tcPr>
            <w:tcW w:w="1301" w:type="dxa"/>
            <w:tcBorders>
              <w:bottom w:val="single" w:sz="4" w:space="0" w:color="auto"/>
            </w:tcBorders>
          </w:tcPr>
          <w:p w14:paraId="35CCF864" w14:textId="77777777" w:rsidR="003140C0" w:rsidRPr="00973AF7" w:rsidRDefault="003140C0" w:rsidP="00C72836">
            <w:pPr>
              <w:pStyle w:val="Initiativefigures"/>
            </w:pPr>
            <w:r w:rsidRPr="00973AF7">
              <w:t>2,000</w:t>
            </w:r>
          </w:p>
        </w:tc>
        <w:tc>
          <w:tcPr>
            <w:tcW w:w="1301" w:type="dxa"/>
            <w:tcBorders>
              <w:bottom w:val="single" w:sz="4" w:space="0" w:color="auto"/>
            </w:tcBorders>
          </w:tcPr>
          <w:p w14:paraId="1361DAFD" w14:textId="77777777" w:rsidR="003140C0" w:rsidRPr="00973AF7" w:rsidRDefault="003140C0" w:rsidP="00C72836">
            <w:pPr>
              <w:pStyle w:val="Initiativefigures"/>
            </w:pPr>
            <w:r w:rsidRPr="00973AF7">
              <w:t>0</w:t>
            </w:r>
          </w:p>
        </w:tc>
        <w:tc>
          <w:tcPr>
            <w:tcW w:w="1301" w:type="dxa"/>
            <w:tcBorders>
              <w:bottom w:val="single" w:sz="4" w:space="0" w:color="auto"/>
            </w:tcBorders>
          </w:tcPr>
          <w:p w14:paraId="2C1ADA67" w14:textId="77777777" w:rsidR="003140C0" w:rsidRPr="00973AF7" w:rsidRDefault="003140C0" w:rsidP="00C72836">
            <w:pPr>
              <w:pStyle w:val="Initiativefigures"/>
            </w:pPr>
            <w:r w:rsidRPr="00973AF7">
              <w:t>0</w:t>
            </w:r>
          </w:p>
        </w:tc>
        <w:tc>
          <w:tcPr>
            <w:tcW w:w="1302" w:type="dxa"/>
            <w:tcBorders>
              <w:bottom w:val="single" w:sz="4" w:space="0" w:color="auto"/>
            </w:tcBorders>
          </w:tcPr>
          <w:p w14:paraId="1D3967A1" w14:textId="77777777" w:rsidR="003140C0" w:rsidRPr="00973AF7" w:rsidRDefault="003140C0" w:rsidP="00C72836">
            <w:pPr>
              <w:pStyle w:val="Initiativefigures"/>
              <w:rPr>
                <w:b/>
                <w:bCs/>
              </w:rPr>
            </w:pPr>
            <w:r w:rsidRPr="00973AF7">
              <w:rPr>
                <w:b/>
                <w:bCs/>
              </w:rPr>
              <w:t>3,000</w:t>
            </w:r>
          </w:p>
        </w:tc>
      </w:tr>
    </w:tbl>
    <w:p w14:paraId="1C23AE58" w14:textId="5ED11D73" w:rsidR="003140C0" w:rsidRPr="00973AF7" w:rsidRDefault="003140C0" w:rsidP="003140C0">
      <w:pPr>
        <w:pStyle w:val="Bbodytext"/>
      </w:pPr>
      <w:r w:rsidRPr="00973AF7">
        <w:t xml:space="preserve">The Government </w:t>
      </w:r>
      <w:r w:rsidR="00E24A83">
        <w:t>is</w:t>
      </w:r>
      <w:r w:rsidR="00E24A83" w:rsidRPr="00973AF7">
        <w:t xml:space="preserve"> </w:t>
      </w:r>
      <w:r w:rsidRPr="00973AF7">
        <w:t>spend</w:t>
      </w:r>
      <w:r w:rsidR="00E24A83">
        <w:t>ing</w:t>
      </w:r>
      <w:r w:rsidRPr="00973AF7">
        <w:t xml:space="preserve"> $3 million on fast-tracking urban forest and public realm maintenance</w:t>
      </w:r>
      <w:r w:rsidR="00473880">
        <w:t xml:space="preserve">. </w:t>
      </w:r>
      <w:r w:rsidRPr="00973AF7">
        <w:t>This will redeploy staff who would otherwise have been employed under contract for work and events that are not expected to go ahead and provide positions for casual workers to undertake paid employment</w:t>
      </w:r>
      <w:r w:rsidR="00473880">
        <w:t xml:space="preserve">.  </w:t>
      </w:r>
    </w:p>
    <w:p w14:paraId="504D9289" w14:textId="77777777" w:rsidR="00055101" w:rsidRPr="00973AF7" w:rsidRDefault="00055101">
      <w:pPr>
        <w:rPr>
          <w:rFonts w:ascii="Calibri" w:eastAsiaTheme="majorEastAsia" w:hAnsi="Calibri" w:cstheme="majorBidi"/>
          <w:b/>
          <w:sz w:val="32"/>
          <w:szCs w:val="26"/>
        </w:rPr>
      </w:pPr>
      <w:r w:rsidRPr="00973AF7">
        <w:br w:type="page"/>
      </w:r>
    </w:p>
    <w:p w14:paraId="670F24D1" w14:textId="34C551A4" w:rsidR="007C2F0D" w:rsidRPr="00973AF7" w:rsidRDefault="007C2F0D" w:rsidP="000373C6">
      <w:pPr>
        <w:pStyle w:val="Heading2"/>
      </w:pPr>
      <w:r w:rsidRPr="00973AF7">
        <w:lastRenderedPageBreak/>
        <w:t xml:space="preserve">Supporting the Community </w:t>
      </w:r>
    </w:p>
    <w:p w14:paraId="511DBEFF" w14:textId="0DEE0B75" w:rsidR="007C2F0D" w:rsidRPr="00973AF7" w:rsidRDefault="004A607F" w:rsidP="000373C6">
      <w:pPr>
        <w:pStyle w:val="Heading3"/>
      </w:pPr>
      <w:r w:rsidRPr="00973AF7">
        <w:t>Community Support package</w:t>
      </w:r>
      <w:r w:rsidR="00C05697" w:rsidRPr="00973AF7">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7A0D40" w:rsidRPr="00973AF7" w14:paraId="698552E4" w14:textId="77777777" w:rsidTr="007C2F0D">
        <w:tc>
          <w:tcPr>
            <w:tcW w:w="2510" w:type="dxa"/>
            <w:tcBorders>
              <w:bottom w:val="single" w:sz="4" w:space="0" w:color="auto"/>
            </w:tcBorders>
          </w:tcPr>
          <w:p w14:paraId="7D351C2B" w14:textId="77777777" w:rsidR="007A0D40" w:rsidRPr="00973AF7" w:rsidRDefault="007A0D40" w:rsidP="007A0D40">
            <w:pPr>
              <w:pStyle w:val="Initiativefigures"/>
            </w:pPr>
          </w:p>
        </w:tc>
        <w:tc>
          <w:tcPr>
            <w:tcW w:w="1301" w:type="dxa"/>
            <w:tcBorders>
              <w:bottom w:val="single" w:sz="4" w:space="0" w:color="auto"/>
            </w:tcBorders>
          </w:tcPr>
          <w:p w14:paraId="0B02F85D" w14:textId="77777777" w:rsidR="007A0D40" w:rsidRPr="00973AF7" w:rsidRDefault="007A0D40" w:rsidP="007A0D40">
            <w:pPr>
              <w:pStyle w:val="Initiativefigures"/>
            </w:pPr>
            <w:r w:rsidRPr="00973AF7">
              <w:t>2019-20</w:t>
            </w:r>
          </w:p>
          <w:p w14:paraId="3A08B481" w14:textId="0BFEB20C" w:rsidR="007A0D40" w:rsidRPr="00973AF7" w:rsidRDefault="007A0D40" w:rsidP="007A0D40">
            <w:pPr>
              <w:pStyle w:val="Initiativefigures"/>
            </w:pPr>
            <w:r w:rsidRPr="00973AF7">
              <w:t>$’000</w:t>
            </w:r>
          </w:p>
        </w:tc>
        <w:tc>
          <w:tcPr>
            <w:tcW w:w="1301" w:type="dxa"/>
            <w:tcBorders>
              <w:bottom w:val="single" w:sz="4" w:space="0" w:color="auto"/>
            </w:tcBorders>
          </w:tcPr>
          <w:p w14:paraId="5B3E2AED" w14:textId="77777777" w:rsidR="007A0D40" w:rsidRPr="00973AF7" w:rsidRDefault="007A0D40" w:rsidP="007A0D40">
            <w:pPr>
              <w:pStyle w:val="Initiativefigures"/>
            </w:pPr>
            <w:r w:rsidRPr="00973AF7">
              <w:t>2020-21</w:t>
            </w:r>
          </w:p>
          <w:p w14:paraId="05466200" w14:textId="7B01B2F7" w:rsidR="007A0D40" w:rsidRPr="00973AF7" w:rsidRDefault="007A0D40" w:rsidP="007A0D40">
            <w:pPr>
              <w:pStyle w:val="Initiativefigures"/>
            </w:pPr>
            <w:r w:rsidRPr="00973AF7">
              <w:t>$’000</w:t>
            </w:r>
          </w:p>
        </w:tc>
        <w:tc>
          <w:tcPr>
            <w:tcW w:w="1301" w:type="dxa"/>
            <w:tcBorders>
              <w:bottom w:val="single" w:sz="4" w:space="0" w:color="auto"/>
            </w:tcBorders>
          </w:tcPr>
          <w:p w14:paraId="0B1C608B" w14:textId="77777777" w:rsidR="007A0D40" w:rsidRPr="00973AF7" w:rsidRDefault="007A0D40" w:rsidP="007A0D40">
            <w:pPr>
              <w:pStyle w:val="Initiativefigures"/>
            </w:pPr>
            <w:r w:rsidRPr="00973AF7">
              <w:t>2021-22</w:t>
            </w:r>
          </w:p>
          <w:p w14:paraId="08642496" w14:textId="5AB06ECA" w:rsidR="007A0D40" w:rsidRPr="00973AF7" w:rsidRDefault="007A0D40" w:rsidP="007A0D40">
            <w:pPr>
              <w:pStyle w:val="Initiativefigures"/>
            </w:pPr>
            <w:r w:rsidRPr="00973AF7">
              <w:t>$’000</w:t>
            </w:r>
          </w:p>
        </w:tc>
        <w:tc>
          <w:tcPr>
            <w:tcW w:w="1301" w:type="dxa"/>
            <w:tcBorders>
              <w:bottom w:val="single" w:sz="4" w:space="0" w:color="auto"/>
            </w:tcBorders>
          </w:tcPr>
          <w:p w14:paraId="69E7A86D" w14:textId="77777777" w:rsidR="007A0D40" w:rsidRPr="00973AF7" w:rsidRDefault="007A0D40" w:rsidP="007A0D40">
            <w:pPr>
              <w:pStyle w:val="Initiativefigures"/>
            </w:pPr>
            <w:r w:rsidRPr="00973AF7">
              <w:t>2022-23</w:t>
            </w:r>
          </w:p>
          <w:p w14:paraId="0E913327" w14:textId="77354DEA" w:rsidR="007A0D40" w:rsidRPr="00973AF7" w:rsidRDefault="007A0D40" w:rsidP="007A0D40">
            <w:pPr>
              <w:pStyle w:val="Initiativefigures"/>
            </w:pPr>
            <w:r w:rsidRPr="00973AF7">
              <w:t>$’000</w:t>
            </w:r>
          </w:p>
        </w:tc>
        <w:tc>
          <w:tcPr>
            <w:tcW w:w="1302" w:type="dxa"/>
            <w:tcBorders>
              <w:bottom w:val="single" w:sz="4" w:space="0" w:color="auto"/>
            </w:tcBorders>
          </w:tcPr>
          <w:p w14:paraId="7F9EDB28" w14:textId="77777777" w:rsidR="007A0D40" w:rsidRPr="00973AF7" w:rsidRDefault="007A0D40" w:rsidP="007A0D40">
            <w:pPr>
              <w:pStyle w:val="Initiativefigures"/>
              <w:rPr>
                <w:b/>
                <w:bCs/>
              </w:rPr>
            </w:pPr>
            <w:r w:rsidRPr="00973AF7">
              <w:rPr>
                <w:b/>
                <w:bCs/>
              </w:rPr>
              <w:t xml:space="preserve">Total </w:t>
            </w:r>
          </w:p>
          <w:p w14:paraId="609C5C14" w14:textId="0C4A8D5D" w:rsidR="007A0D40" w:rsidRPr="00973AF7" w:rsidRDefault="007A0D40" w:rsidP="007A0D40">
            <w:pPr>
              <w:pStyle w:val="Initiativefigures"/>
              <w:rPr>
                <w:b/>
                <w:bCs/>
              </w:rPr>
            </w:pPr>
            <w:r w:rsidRPr="00973AF7">
              <w:rPr>
                <w:b/>
                <w:bCs/>
              </w:rPr>
              <w:t>$’000</w:t>
            </w:r>
          </w:p>
        </w:tc>
      </w:tr>
      <w:tr w:rsidR="007C2F0D" w:rsidRPr="00973AF7" w14:paraId="75F67778" w14:textId="77777777" w:rsidTr="007C2F0D">
        <w:tc>
          <w:tcPr>
            <w:tcW w:w="2510" w:type="dxa"/>
            <w:tcBorders>
              <w:bottom w:val="single" w:sz="4" w:space="0" w:color="auto"/>
            </w:tcBorders>
          </w:tcPr>
          <w:p w14:paraId="3AC9D6AF" w14:textId="5DCA9E38" w:rsidR="007C2F0D" w:rsidRPr="00973AF7" w:rsidRDefault="007C2F0D" w:rsidP="000373C6">
            <w:pPr>
              <w:pStyle w:val="Initiativetext"/>
            </w:pPr>
            <w:r w:rsidRPr="00973AF7">
              <w:t>Expense</w:t>
            </w:r>
          </w:p>
        </w:tc>
        <w:tc>
          <w:tcPr>
            <w:tcW w:w="1301" w:type="dxa"/>
            <w:tcBorders>
              <w:bottom w:val="single" w:sz="4" w:space="0" w:color="auto"/>
            </w:tcBorders>
          </w:tcPr>
          <w:p w14:paraId="6C3DD9F4" w14:textId="01B564E7" w:rsidR="007C2F0D" w:rsidRPr="00973AF7" w:rsidRDefault="003238B2" w:rsidP="000373C6">
            <w:pPr>
              <w:pStyle w:val="Initiativefigures"/>
            </w:pPr>
            <w:r w:rsidRPr="00973AF7">
              <w:t>5,447</w:t>
            </w:r>
          </w:p>
        </w:tc>
        <w:tc>
          <w:tcPr>
            <w:tcW w:w="1301" w:type="dxa"/>
            <w:tcBorders>
              <w:bottom w:val="single" w:sz="4" w:space="0" w:color="auto"/>
            </w:tcBorders>
          </w:tcPr>
          <w:p w14:paraId="1BDF5270" w14:textId="14AC71C2" w:rsidR="007C2F0D" w:rsidRPr="00973AF7" w:rsidRDefault="003238B2" w:rsidP="000373C6">
            <w:pPr>
              <w:pStyle w:val="Initiativefigures"/>
            </w:pPr>
            <w:r w:rsidRPr="00973AF7">
              <w:t>3,553</w:t>
            </w:r>
          </w:p>
        </w:tc>
        <w:tc>
          <w:tcPr>
            <w:tcW w:w="1301" w:type="dxa"/>
            <w:tcBorders>
              <w:bottom w:val="single" w:sz="4" w:space="0" w:color="auto"/>
            </w:tcBorders>
          </w:tcPr>
          <w:p w14:paraId="616A62A2" w14:textId="635883B8" w:rsidR="007C2F0D" w:rsidRPr="00973AF7" w:rsidRDefault="00244FDB" w:rsidP="000373C6">
            <w:pPr>
              <w:pStyle w:val="Initiativefigures"/>
            </w:pPr>
            <w:r w:rsidRPr="00973AF7">
              <w:t>0</w:t>
            </w:r>
          </w:p>
        </w:tc>
        <w:tc>
          <w:tcPr>
            <w:tcW w:w="1301" w:type="dxa"/>
            <w:tcBorders>
              <w:bottom w:val="single" w:sz="4" w:space="0" w:color="auto"/>
            </w:tcBorders>
          </w:tcPr>
          <w:p w14:paraId="4956D9C9" w14:textId="55C21BF5" w:rsidR="007C2F0D" w:rsidRPr="00973AF7" w:rsidRDefault="00244FDB" w:rsidP="000373C6">
            <w:pPr>
              <w:pStyle w:val="Initiativefigures"/>
            </w:pPr>
            <w:r w:rsidRPr="00973AF7">
              <w:t>0</w:t>
            </w:r>
          </w:p>
        </w:tc>
        <w:tc>
          <w:tcPr>
            <w:tcW w:w="1302" w:type="dxa"/>
            <w:tcBorders>
              <w:bottom w:val="single" w:sz="4" w:space="0" w:color="auto"/>
            </w:tcBorders>
          </w:tcPr>
          <w:p w14:paraId="23EDD44E" w14:textId="3694E982" w:rsidR="007C2F0D" w:rsidRPr="00973AF7" w:rsidRDefault="00156C63" w:rsidP="000373C6">
            <w:pPr>
              <w:pStyle w:val="Initiativefigures"/>
              <w:rPr>
                <w:b/>
                <w:bCs/>
              </w:rPr>
            </w:pPr>
            <w:r w:rsidRPr="00973AF7">
              <w:rPr>
                <w:b/>
                <w:bCs/>
              </w:rPr>
              <w:t>9</w:t>
            </w:r>
            <w:r w:rsidR="00244FDB" w:rsidRPr="00973AF7">
              <w:rPr>
                <w:b/>
                <w:bCs/>
              </w:rPr>
              <w:t>,000</w:t>
            </w:r>
          </w:p>
        </w:tc>
      </w:tr>
    </w:tbl>
    <w:p w14:paraId="220F7485" w14:textId="1B10EC9C" w:rsidR="00B40D84" w:rsidRPr="00973AF7" w:rsidRDefault="00B40D84" w:rsidP="00B40D84">
      <w:pPr>
        <w:pStyle w:val="Bbodytext"/>
      </w:pPr>
      <w:r w:rsidRPr="00973AF7">
        <w:t xml:space="preserve">The Government </w:t>
      </w:r>
      <w:r w:rsidR="00E24A83">
        <w:t>is</w:t>
      </w:r>
      <w:r w:rsidR="00E24A83" w:rsidRPr="00973AF7">
        <w:t xml:space="preserve"> </w:t>
      </w:r>
      <w:r w:rsidRPr="00973AF7">
        <w:t>provid</w:t>
      </w:r>
      <w:r w:rsidR="00E24A83">
        <w:t>ing</w:t>
      </w:r>
      <w:r w:rsidRPr="00973AF7">
        <w:t xml:space="preserve"> additional funding of $</w:t>
      </w:r>
      <w:r w:rsidR="00156C63" w:rsidRPr="00973AF7">
        <w:t>9</w:t>
      </w:r>
      <w:r w:rsidRPr="00973AF7">
        <w:t xml:space="preserve"> million </w:t>
      </w:r>
      <w:r w:rsidR="00A72A37">
        <w:t xml:space="preserve">over two years </w:t>
      </w:r>
      <w:r w:rsidRPr="00973AF7">
        <w:t>for our non-government organisation partners to meet increased service demand for emergency relief</w:t>
      </w:r>
      <w:r w:rsidR="00473880">
        <w:t xml:space="preserve">. </w:t>
      </w:r>
      <w:r w:rsidRPr="00973AF7">
        <w:t> This provide</w:t>
      </w:r>
      <w:r w:rsidR="00E24A83">
        <w:t>s</w:t>
      </w:r>
      <w:r w:rsidRPr="00973AF7">
        <w:t xml:space="preserve"> support to partners to meet increased service demand for emergency and food relief, those in our Aboriginal and Torres Strait Islander communities who require culturally appropriate support, and those that may be experiencing domestic and family violence</w:t>
      </w:r>
      <w:r w:rsidR="00473880">
        <w:t xml:space="preserve">. </w:t>
      </w:r>
    </w:p>
    <w:p w14:paraId="145EBCE1" w14:textId="0B124BE0" w:rsidR="001312D8" w:rsidRPr="00973AF7" w:rsidRDefault="00B40D84" w:rsidP="001312D8">
      <w:pPr>
        <w:pStyle w:val="Bbodytext"/>
      </w:pPr>
      <w:r w:rsidRPr="00973AF7">
        <w:t xml:space="preserve">The development of the package </w:t>
      </w:r>
      <w:r w:rsidR="00991008" w:rsidRPr="00973AF7">
        <w:t>has</w:t>
      </w:r>
      <w:r w:rsidRPr="00973AF7">
        <w:t xml:space="preserve"> be</w:t>
      </w:r>
      <w:r w:rsidR="00991008" w:rsidRPr="00973AF7">
        <w:t>en</w:t>
      </w:r>
      <w:r w:rsidRPr="00973AF7">
        <w:t xml:space="preserve"> undertaken through consultation with our non</w:t>
      </w:r>
      <w:r w:rsidR="00F37A22" w:rsidRPr="00973AF7">
        <w:noBreakHyphen/>
      </w:r>
      <w:r w:rsidRPr="00973AF7">
        <w:t>government sector partners</w:t>
      </w:r>
      <w:r w:rsidR="001312D8" w:rsidRPr="00973AF7">
        <w:t xml:space="preserve"> and includes:</w:t>
      </w:r>
    </w:p>
    <w:p w14:paraId="1180BB90" w14:textId="360A96E2" w:rsidR="001312D8" w:rsidRPr="00973AF7" w:rsidRDefault="001312D8" w:rsidP="00282B20">
      <w:pPr>
        <w:pStyle w:val="Bbodytext"/>
        <w:numPr>
          <w:ilvl w:val="0"/>
          <w:numId w:val="19"/>
        </w:numPr>
      </w:pPr>
      <w:r w:rsidRPr="00973AF7">
        <w:t>$1</w:t>
      </w:r>
      <w:r w:rsidR="00473880">
        <w:t>.</w:t>
      </w:r>
      <w:r w:rsidRPr="00973AF7">
        <w:t>5 million for the Canberra Relief Network (lead by UnitingCare Kippax), for food relief coordination and delivery;</w:t>
      </w:r>
    </w:p>
    <w:p w14:paraId="12A84328" w14:textId="13195375" w:rsidR="001312D8" w:rsidRPr="00973AF7" w:rsidRDefault="001312D8" w:rsidP="00282B20">
      <w:pPr>
        <w:pStyle w:val="Bbodytext"/>
        <w:numPr>
          <w:ilvl w:val="0"/>
          <w:numId w:val="19"/>
        </w:numPr>
      </w:pPr>
      <w:r w:rsidRPr="00973AF7">
        <w:t>$1</w:t>
      </w:r>
      <w:r w:rsidR="00473880">
        <w:t>.</w:t>
      </w:r>
      <w:r w:rsidRPr="00973AF7">
        <w:t>175 million to support community services organisations during the pandemic (including elements such as staff safety fixtures, and improved technology to support teleconferencing);</w:t>
      </w:r>
    </w:p>
    <w:p w14:paraId="5C24FFB7" w14:textId="379E823E" w:rsidR="001312D8" w:rsidRPr="00973AF7" w:rsidRDefault="001312D8" w:rsidP="00282B20">
      <w:pPr>
        <w:pStyle w:val="Bbodytext"/>
        <w:numPr>
          <w:ilvl w:val="0"/>
          <w:numId w:val="19"/>
        </w:numPr>
      </w:pPr>
      <w:r w:rsidRPr="00973AF7">
        <w:t>$807,000 for strengthened homelessness prevention services;</w:t>
      </w:r>
    </w:p>
    <w:p w14:paraId="1272F370" w14:textId="56F75CCA" w:rsidR="001312D8" w:rsidRPr="00973AF7" w:rsidRDefault="001312D8" w:rsidP="00282B20">
      <w:pPr>
        <w:pStyle w:val="Bbodytext"/>
        <w:numPr>
          <w:ilvl w:val="0"/>
          <w:numId w:val="19"/>
        </w:numPr>
      </w:pPr>
      <w:r w:rsidRPr="00973AF7">
        <w:t>$580,000 to support a range of Aboriginal and Torres Strait Islander organisations;</w:t>
      </w:r>
    </w:p>
    <w:p w14:paraId="5EF1CF00" w14:textId="6AAF8A2C" w:rsidR="001312D8" w:rsidRPr="00973AF7" w:rsidRDefault="001312D8" w:rsidP="00282B20">
      <w:pPr>
        <w:pStyle w:val="Bbodytext"/>
        <w:numPr>
          <w:ilvl w:val="0"/>
          <w:numId w:val="19"/>
        </w:numPr>
      </w:pPr>
      <w:r w:rsidRPr="00973AF7">
        <w:t>$550,000 for domestic and family violence prevention services;</w:t>
      </w:r>
    </w:p>
    <w:p w14:paraId="7D9F1F7E" w14:textId="635FF074" w:rsidR="001312D8" w:rsidRPr="00973AF7" w:rsidRDefault="001312D8" w:rsidP="005C144E">
      <w:pPr>
        <w:pStyle w:val="Bbodytext"/>
        <w:numPr>
          <w:ilvl w:val="0"/>
          <w:numId w:val="19"/>
        </w:numPr>
      </w:pPr>
      <w:r w:rsidRPr="00973AF7">
        <w:t>$300,000 to support asylum seekers and temporary visa holders who may be missing out on other avenues of support;</w:t>
      </w:r>
      <w:r w:rsidR="00410C65" w:rsidRPr="00973AF7">
        <w:t xml:space="preserve"> and</w:t>
      </w:r>
    </w:p>
    <w:p w14:paraId="5C882593" w14:textId="70886B86" w:rsidR="001312D8" w:rsidRPr="00973AF7" w:rsidRDefault="001312D8" w:rsidP="00282B20">
      <w:pPr>
        <w:pStyle w:val="Bbodytext"/>
        <w:numPr>
          <w:ilvl w:val="0"/>
          <w:numId w:val="19"/>
        </w:numPr>
      </w:pPr>
      <w:r w:rsidRPr="00973AF7">
        <w:t>$200,000 for expanded legal services (such as Legal Aid)</w:t>
      </w:r>
      <w:r w:rsidR="00473880">
        <w:t xml:space="preserve">.  </w:t>
      </w:r>
    </w:p>
    <w:p w14:paraId="45F5C63E" w14:textId="13F8BC3E" w:rsidR="00B40D84" w:rsidRDefault="001312D8" w:rsidP="001312D8">
      <w:pPr>
        <w:pStyle w:val="Bbodytext"/>
      </w:pPr>
      <w:r w:rsidRPr="00973AF7">
        <w:t>This initiative i</w:t>
      </w:r>
      <w:r w:rsidR="00410C65" w:rsidRPr="00973AF7">
        <w:t xml:space="preserve">ncludes $265,000 for mental health services, in addition to the </w:t>
      </w:r>
      <w:r w:rsidR="00410C65" w:rsidRPr="00973AF7">
        <w:rPr>
          <w:i/>
          <w:iCs/>
        </w:rPr>
        <w:t>Mental Health Support Package</w:t>
      </w:r>
      <w:r w:rsidR="00410C65" w:rsidRPr="00973AF7">
        <w:t xml:space="preserve"> initiative outlined below, bringing the total funding for expanded COVID</w:t>
      </w:r>
      <w:r w:rsidR="00410C65" w:rsidRPr="00973AF7">
        <w:noBreakHyphen/>
        <w:t>19 mental health services to $4</w:t>
      </w:r>
      <w:r w:rsidR="00473880">
        <w:t>.</w:t>
      </w:r>
      <w:r w:rsidR="00410C65" w:rsidRPr="00973AF7">
        <w:t>5 million</w:t>
      </w:r>
      <w:r w:rsidR="00473880">
        <w:t xml:space="preserve">.  </w:t>
      </w:r>
    </w:p>
    <w:p w14:paraId="188BC3B8" w14:textId="77777777" w:rsidR="003140C0" w:rsidRPr="00973AF7" w:rsidRDefault="003140C0" w:rsidP="003140C0">
      <w:pPr>
        <w:pStyle w:val="Heading3"/>
      </w:pPr>
      <w:r w:rsidRPr="00973AF7">
        <w:t>Education Digital Delivery</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20282D20" w14:textId="77777777" w:rsidTr="00C72836">
        <w:tc>
          <w:tcPr>
            <w:tcW w:w="2510" w:type="dxa"/>
            <w:tcBorders>
              <w:bottom w:val="single" w:sz="4" w:space="0" w:color="auto"/>
            </w:tcBorders>
          </w:tcPr>
          <w:p w14:paraId="44E016E0" w14:textId="77777777" w:rsidR="003140C0" w:rsidRPr="00973AF7" w:rsidRDefault="003140C0" w:rsidP="00C72836">
            <w:pPr>
              <w:pStyle w:val="Initiativefigures"/>
              <w:keepNext/>
              <w:keepLines/>
            </w:pPr>
          </w:p>
        </w:tc>
        <w:tc>
          <w:tcPr>
            <w:tcW w:w="1301" w:type="dxa"/>
            <w:tcBorders>
              <w:bottom w:val="single" w:sz="4" w:space="0" w:color="auto"/>
            </w:tcBorders>
          </w:tcPr>
          <w:p w14:paraId="63DA7B15" w14:textId="77777777" w:rsidR="003140C0" w:rsidRPr="00973AF7" w:rsidRDefault="003140C0" w:rsidP="00C72836">
            <w:pPr>
              <w:pStyle w:val="Initiativefigures"/>
              <w:keepNext/>
              <w:keepLines/>
            </w:pPr>
            <w:r w:rsidRPr="00973AF7">
              <w:t>2019-20</w:t>
            </w:r>
          </w:p>
          <w:p w14:paraId="4FB0C5C5"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4B9FFB0B" w14:textId="77777777" w:rsidR="003140C0" w:rsidRPr="00973AF7" w:rsidRDefault="003140C0" w:rsidP="00C72836">
            <w:pPr>
              <w:pStyle w:val="Initiativefigures"/>
              <w:keepNext/>
              <w:keepLines/>
            </w:pPr>
            <w:r w:rsidRPr="00973AF7">
              <w:t>2020-21</w:t>
            </w:r>
          </w:p>
          <w:p w14:paraId="536EC517"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5B8BD301" w14:textId="77777777" w:rsidR="003140C0" w:rsidRPr="00973AF7" w:rsidRDefault="003140C0" w:rsidP="00C72836">
            <w:pPr>
              <w:pStyle w:val="Initiativefigures"/>
              <w:keepNext/>
              <w:keepLines/>
            </w:pPr>
            <w:r w:rsidRPr="00973AF7">
              <w:t>2021-22</w:t>
            </w:r>
          </w:p>
          <w:p w14:paraId="1E2AAA6D"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65D8E200" w14:textId="77777777" w:rsidR="003140C0" w:rsidRPr="00973AF7" w:rsidRDefault="003140C0" w:rsidP="00C72836">
            <w:pPr>
              <w:pStyle w:val="Initiativefigures"/>
              <w:keepNext/>
              <w:keepLines/>
            </w:pPr>
            <w:r w:rsidRPr="00973AF7">
              <w:t>2022-23</w:t>
            </w:r>
          </w:p>
          <w:p w14:paraId="4C630200" w14:textId="77777777" w:rsidR="003140C0" w:rsidRPr="00973AF7" w:rsidRDefault="003140C0" w:rsidP="00C72836">
            <w:pPr>
              <w:pStyle w:val="Initiativefigures"/>
              <w:keepNext/>
              <w:keepLines/>
            </w:pPr>
            <w:r w:rsidRPr="00973AF7">
              <w:t>$’000</w:t>
            </w:r>
          </w:p>
        </w:tc>
        <w:tc>
          <w:tcPr>
            <w:tcW w:w="1302" w:type="dxa"/>
            <w:tcBorders>
              <w:bottom w:val="single" w:sz="4" w:space="0" w:color="auto"/>
            </w:tcBorders>
          </w:tcPr>
          <w:p w14:paraId="0D509857" w14:textId="77777777" w:rsidR="003140C0" w:rsidRPr="00973AF7" w:rsidRDefault="003140C0" w:rsidP="00C72836">
            <w:pPr>
              <w:pStyle w:val="Initiativefigures"/>
              <w:keepNext/>
              <w:keepLines/>
              <w:rPr>
                <w:b/>
                <w:bCs/>
              </w:rPr>
            </w:pPr>
            <w:r w:rsidRPr="00973AF7">
              <w:rPr>
                <w:b/>
                <w:bCs/>
              </w:rPr>
              <w:t xml:space="preserve">Total </w:t>
            </w:r>
          </w:p>
          <w:p w14:paraId="67F0E904" w14:textId="77777777" w:rsidR="003140C0" w:rsidRPr="00973AF7" w:rsidRDefault="003140C0" w:rsidP="00C72836">
            <w:pPr>
              <w:pStyle w:val="Initiativefigures"/>
              <w:keepNext/>
              <w:keepLines/>
              <w:rPr>
                <w:b/>
                <w:bCs/>
              </w:rPr>
            </w:pPr>
            <w:r w:rsidRPr="00973AF7">
              <w:rPr>
                <w:b/>
                <w:bCs/>
              </w:rPr>
              <w:t>$’000</w:t>
            </w:r>
          </w:p>
        </w:tc>
      </w:tr>
      <w:tr w:rsidR="003140C0" w:rsidRPr="00973AF7" w14:paraId="083F192F" w14:textId="77777777" w:rsidTr="00C72836">
        <w:tc>
          <w:tcPr>
            <w:tcW w:w="2510" w:type="dxa"/>
            <w:tcBorders>
              <w:bottom w:val="single" w:sz="4" w:space="0" w:color="auto"/>
            </w:tcBorders>
          </w:tcPr>
          <w:p w14:paraId="4057E2F7" w14:textId="77777777" w:rsidR="003140C0" w:rsidRPr="00973AF7" w:rsidRDefault="003140C0" w:rsidP="00C72836">
            <w:pPr>
              <w:pStyle w:val="Initiativetext"/>
              <w:keepNext/>
              <w:keepLines/>
            </w:pPr>
            <w:r w:rsidRPr="00973AF7">
              <w:t>Expense</w:t>
            </w:r>
          </w:p>
        </w:tc>
        <w:tc>
          <w:tcPr>
            <w:tcW w:w="1301" w:type="dxa"/>
            <w:tcBorders>
              <w:bottom w:val="single" w:sz="4" w:space="0" w:color="auto"/>
            </w:tcBorders>
          </w:tcPr>
          <w:p w14:paraId="06AAFC5E" w14:textId="77777777" w:rsidR="003140C0" w:rsidRPr="00973AF7" w:rsidRDefault="003140C0" w:rsidP="00C72836">
            <w:pPr>
              <w:pStyle w:val="Initiativefigures"/>
              <w:keepNext/>
              <w:keepLines/>
            </w:pPr>
            <w:r w:rsidRPr="00973AF7">
              <w:t>500</w:t>
            </w:r>
          </w:p>
        </w:tc>
        <w:tc>
          <w:tcPr>
            <w:tcW w:w="1301" w:type="dxa"/>
            <w:tcBorders>
              <w:bottom w:val="single" w:sz="4" w:space="0" w:color="auto"/>
            </w:tcBorders>
          </w:tcPr>
          <w:p w14:paraId="68A0656F" w14:textId="77777777" w:rsidR="003140C0" w:rsidRPr="00973AF7" w:rsidRDefault="003140C0" w:rsidP="00C72836">
            <w:pPr>
              <w:pStyle w:val="Initiativefigures"/>
              <w:keepNext/>
              <w:keepLines/>
            </w:pPr>
            <w:r w:rsidRPr="00973AF7">
              <w:t>0</w:t>
            </w:r>
          </w:p>
        </w:tc>
        <w:tc>
          <w:tcPr>
            <w:tcW w:w="1301" w:type="dxa"/>
            <w:tcBorders>
              <w:bottom w:val="single" w:sz="4" w:space="0" w:color="auto"/>
            </w:tcBorders>
          </w:tcPr>
          <w:p w14:paraId="6C603182" w14:textId="77777777" w:rsidR="003140C0" w:rsidRPr="00973AF7" w:rsidRDefault="003140C0" w:rsidP="00C72836">
            <w:pPr>
              <w:pStyle w:val="Initiativefigures"/>
              <w:keepNext/>
              <w:keepLines/>
            </w:pPr>
            <w:r w:rsidRPr="00973AF7">
              <w:t>0</w:t>
            </w:r>
          </w:p>
        </w:tc>
        <w:tc>
          <w:tcPr>
            <w:tcW w:w="1301" w:type="dxa"/>
            <w:tcBorders>
              <w:bottom w:val="single" w:sz="4" w:space="0" w:color="auto"/>
            </w:tcBorders>
          </w:tcPr>
          <w:p w14:paraId="41582E6E" w14:textId="77777777" w:rsidR="003140C0" w:rsidRPr="00973AF7" w:rsidRDefault="003140C0" w:rsidP="00C72836">
            <w:pPr>
              <w:pStyle w:val="Initiativefigures"/>
              <w:keepNext/>
              <w:keepLines/>
            </w:pPr>
            <w:r w:rsidRPr="00973AF7">
              <w:t>0</w:t>
            </w:r>
          </w:p>
        </w:tc>
        <w:tc>
          <w:tcPr>
            <w:tcW w:w="1302" w:type="dxa"/>
            <w:tcBorders>
              <w:bottom w:val="single" w:sz="4" w:space="0" w:color="auto"/>
            </w:tcBorders>
          </w:tcPr>
          <w:p w14:paraId="6EFA0282" w14:textId="77777777" w:rsidR="003140C0" w:rsidRPr="00973AF7" w:rsidRDefault="003140C0" w:rsidP="00C72836">
            <w:pPr>
              <w:pStyle w:val="Initiativefigures"/>
              <w:keepNext/>
              <w:keepLines/>
              <w:rPr>
                <w:b/>
                <w:bCs/>
              </w:rPr>
            </w:pPr>
            <w:r w:rsidRPr="00973AF7">
              <w:rPr>
                <w:b/>
                <w:bCs/>
              </w:rPr>
              <w:t>500</w:t>
            </w:r>
          </w:p>
        </w:tc>
      </w:tr>
    </w:tbl>
    <w:p w14:paraId="77B5DF89" w14:textId="40DCF9F8" w:rsidR="003140C0" w:rsidRPr="00973AF7" w:rsidRDefault="003140C0" w:rsidP="003140C0">
      <w:pPr>
        <w:pStyle w:val="Bbodytext"/>
        <w:keepLines/>
      </w:pPr>
      <w:r w:rsidRPr="00973AF7">
        <w:t xml:space="preserve">The </w:t>
      </w:r>
      <w:r w:rsidRPr="0018395F">
        <w:t xml:space="preserve">Government </w:t>
      </w:r>
      <w:r w:rsidR="00E24A83" w:rsidRPr="0018395F">
        <w:t>has</w:t>
      </w:r>
      <w:r w:rsidR="00E24A83" w:rsidRPr="00973AF7">
        <w:t xml:space="preserve"> </w:t>
      </w:r>
      <w:r w:rsidRPr="00973AF7">
        <w:t>provide</w:t>
      </w:r>
      <w:r w:rsidR="00E24A83">
        <w:t>d</w:t>
      </w:r>
      <w:r w:rsidRPr="00973AF7">
        <w:t xml:space="preserve"> Chromebooks or similar devices to all students in years 4</w:t>
      </w:r>
      <w:r w:rsidR="00584A22">
        <w:noBreakHyphen/>
      </w:r>
      <w:r w:rsidRPr="00973AF7">
        <w:t>6 and free Wi</w:t>
      </w:r>
      <w:r w:rsidR="0030675B">
        <w:t>-</w:t>
      </w:r>
      <w:r w:rsidRPr="00973AF7">
        <w:t>Fi in the homes of the most disadvantaged</w:t>
      </w:r>
      <w:r w:rsidR="00473880">
        <w:t xml:space="preserve">. </w:t>
      </w:r>
      <w:r w:rsidRPr="00973AF7">
        <w:t>This will ensure that students who would otherwise not have access to remote teaching materials will not be left behind as an increasing number of students were required to undertake remote learning</w:t>
      </w:r>
      <w:r w:rsidR="00473880">
        <w:t xml:space="preserve">.  </w:t>
      </w:r>
    </w:p>
    <w:p w14:paraId="43B31BA6" w14:textId="77777777" w:rsidR="003140C0" w:rsidRPr="00973AF7" w:rsidRDefault="003140C0" w:rsidP="003140C0">
      <w:pPr>
        <w:pStyle w:val="Heading3"/>
        <w:rPr>
          <w:b w:val="0"/>
        </w:rPr>
      </w:pPr>
      <w:r w:rsidRPr="00973AF7">
        <w:lastRenderedPageBreak/>
        <w:t xml:space="preserve">Financial support for the Cultural Facilities Corporation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09E8A744" w14:textId="77777777" w:rsidTr="00C72836">
        <w:tc>
          <w:tcPr>
            <w:tcW w:w="2510" w:type="dxa"/>
            <w:tcBorders>
              <w:bottom w:val="single" w:sz="4" w:space="0" w:color="auto"/>
            </w:tcBorders>
          </w:tcPr>
          <w:p w14:paraId="493885FF" w14:textId="77777777" w:rsidR="003140C0" w:rsidRPr="00973AF7" w:rsidRDefault="003140C0" w:rsidP="00C72836">
            <w:pPr>
              <w:pStyle w:val="Initiativefigures"/>
              <w:keepNext/>
              <w:keepLines/>
            </w:pPr>
          </w:p>
        </w:tc>
        <w:tc>
          <w:tcPr>
            <w:tcW w:w="1301" w:type="dxa"/>
            <w:tcBorders>
              <w:bottom w:val="single" w:sz="4" w:space="0" w:color="auto"/>
            </w:tcBorders>
          </w:tcPr>
          <w:p w14:paraId="1879678C" w14:textId="77777777" w:rsidR="003140C0" w:rsidRPr="00973AF7" w:rsidRDefault="003140C0" w:rsidP="00C72836">
            <w:pPr>
              <w:pStyle w:val="Initiativefigures"/>
            </w:pPr>
            <w:r w:rsidRPr="00973AF7">
              <w:t>2019-20</w:t>
            </w:r>
          </w:p>
          <w:p w14:paraId="04862C85"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2A66A8CF" w14:textId="77777777" w:rsidR="003140C0" w:rsidRPr="00973AF7" w:rsidRDefault="003140C0" w:rsidP="00C72836">
            <w:pPr>
              <w:pStyle w:val="Initiativefigures"/>
            </w:pPr>
            <w:r w:rsidRPr="00973AF7">
              <w:t>2020-21</w:t>
            </w:r>
          </w:p>
          <w:p w14:paraId="3F66D368"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66C91E30" w14:textId="77777777" w:rsidR="003140C0" w:rsidRPr="00973AF7" w:rsidRDefault="003140C0" w:rsidP="00C72836">
            <w:pPr>
              <w:pStyle w:val="Initiativefigures"/>
            </w:pPr>
            <w:r w:rsidRPr="00973AF7">
              <w:t>2021-22</w:t>
            </w:r>
          </w:p>
          <w:p w14:paraId="4C97F65F" w14:textId="77777777" w:rsidR="003140C0" w:rsidRPr="00973AF7" w:rsidRDefault="003140C0" w:rsidP="00C72836">
            <w:pPr>
              <w:pStyle w:val="Initiativefigures"/>
              <w:keepNext/>
              <w:keepLines/>
            </w:pPr>
            <w:r w:rsidRPr="00973AF7">
              <w:t>$’000</w:t>
            </w:r>
          </w:p>
        </w:tc>
        <w:tc>
          <w:tcPr>
            <w:tcW w:w="1301" w:type="dxa"/>
            <w:tcBorders>
              <w:bottom w:val="single" w:sz="4" w:space="0" w:color="auto"/>
            </w:tcBorders>
          </w:tcPr>
          <w:p w14:paraId="7CD379AB" w14:textId="77777777" w:rsidR="003140C0" w:rsidRPr="00973AF7" w:rsidRDefault="003140C0" w:rsidP="00C72836">
            <w:pPr>
              <w:pStyle w:val="Initiativefigures"/>
            </w:pPr>
            <w:r w:rsidRPr="00973AF7">
              <w:t>2022-23</w:t>
            </w:r>
          </w:p>
          <w:p w14:paraId="57EF892F" w14:textId="77777777" w:rsidR="003140C0" w:rsidRPr="00973AF7" w:rsidRDefault="003140C0" w:rsidP="00C72836">
            <w:pPr>
              <w:pStyle w:val="Initiativefigures"/>
              <w:keepNext/>
              <w:keepLines/>
            </w:pPr>
            <w:r w:rsidRPr="00973AF7">
              <w:t>$’000</w:t>
            </w:r>
          </w:p>
        </w:tc>
        <w:tc>
          <w:tcPr>
            <w:tcW w:w="1302" w:type="dxa"/>
            <w:tcBorders>
              <w:bottom w:val="single" w:sz="4" w:space="0" w:color="auto"/>
            </w:tcBorders>
          </w:tcPr>
          <w:p w14:paraId="1B6EB7DA" w14:textId="77777777" w:rsidR="003140C0" w:rsidRPr="00973AF7" w:rsidRDefault="003140C0" w:rsidP="00C72836">
            <w:pPr>
              <w:pStyle w:val="Initiativefigures"/>
              <w:rPr>
                <w:b/>
                <w:bCs/>
              </w:rPr>
            </w:pPr>
            <w:r w:rsidRPr="00973AF7">
              <w:rPr>
                <w:b/>
                <w:bCs/>
              </w:rPr>
              <w:t xml:space="preserve">Total </w:t>
            </w:r>
          </w:p>
          <w:p w14:paraId="018FEFA1" w14:textId="77777777" w:rsidR="003140C0" w:rsidRPr="00973AF7" w:rsidRDefault="003140C0" w:rsidP="00C72836">
            <w:pPr>
              <w:pStyle w:val="Initiativefigures"/>
              <w:keepNext/>
              <w:keepLines/>
              <w:rPr>
                <w:b/>
                <w:bCs/>
              </w:rPr>
            </w:pPr>
            <w:r w:rsidRPr="00973AF7">
              <w:rPr>
                <w:b/>
                <w:bCs/>
              </w:rPr>
              <w:t>$’000</w:t>
            </w:r>
          </w:p>
        </w:tc>
      </w:tr>
      <w:tr w:rsidR="003140C0" w:rsidRPr="00973AF7" w14:paraId="18EC5630" w14:textId="77777777" w:rsidTr="00C72836">
        <w:tc>
          <w:tcPr>
            <w:tcW w:w="2510" w:type="dxa"/>
            <w:tcBorders>
              <w:bottom w:val="single" w:sz="4" w:space="0" w:color="auto"/>
            </w:tcBorders>
          </w:tcPr>
          <w:p w14:paraId="3D65A2E3" w14:textId="77777777" w:rsidR="003140C0" w:rsidRPr="00973AF7" w:rsidRDefault="003140C0" w:rsidP="00C72836">
            <w:pPr>
              <w:keepNext/>
              <w:ind w:left="227" w:hanging="227"/>
              <w:rPr>
                <w:rFonts w:cs="Calibri"/>
                <w:szCs w:val="24"/>
              </w:rPr>
            </w:pPr>
            <w:r w:rsidRPr="00973AF7">
              <w:rPr>
                <w:rFonts w:ascii="Calibri" w:hAnsi="Calibri" w:cs="Calibri"/>
                <w:sz w:val="24"/>
                <w:szCs w:val="24"/>
              </w:rPr>
              <w:t>Expense</w:t>
            </w:r>
          </w:p>
        </w:tc>
        <w:tc>
          <w:tcPr>
            <w:tcW w:w="1301" w:type="dxa"/>
            <w:tcBorders>
              <w:bottom w:val="single" w:sz="4" w:space="0" w:color="auto"/>
            </w:tcBorders>
          </w:tcPr>
          <w:p w14:paraId="7F26B2DE" w14:textId="77777777" w:rsidR="003140C0" w:rsidRPr="00973AF7" w:rsidRDefault="003140C0" w:rsidP="00C72836">
            <w:pPr>
              <w:keepNext/>
              <w:ind w:left="227" w:hanging="227"/>
              <w:jc w:val="right"/>
              <w:rPr>
                <w:rFonts w:cs="Calibri"/>
                <w:szCs w:val="24"/>
              </w:rPr>
            </w:pPr>
            <w:r w:rsidRPr="00973AF7">
              <w:rPr>
                <w:rFonts w:ascii="Calibri" w:hAnsi="Calibri" w:cs="Calibri"/>
                <w:sz w:val="24"/>
                <w:szCs w:val="24"/>
              </w:rPr>
              <w:t>0</w:t>
            </w:r>
          </w:p>
        </w:tc>
        <w:tc>
          <w:tcPr>
            <w:tcW w:w="1301" w:type="dxa"/>
            <w:tcBorders>
              <w:bottom w:val="single" w:sz="4" w:space="0" w:color="auto"/>
            </w:tcBorders>
          </w:tcPr>
          <w:p w14:paraId="0AA8F36D" w14:textId="77777777" w:rsidR="003140C0" w:rsidRPr="00973AF7" w:rsidRDefault="003140C0" w:rsidP="00C72836">
            <w:pPr>
              <w:keepNext/>
              <w:ind w:left="227" w:hanging="227"/>
              <w:jc w:val="right"/>
              <w:rPr>
                <w:rFonts w:cs="Calibri"/>
                <w:szCs w:val="24"/>
              </w:rPr>
            </w:pPr>
            <w:r w:rsidRPr="00973AF7">
              <w:rPr>
                <w:rFonts w:ascii="Calibri" w:hAnsi="Calibri" w:cs="Calibri"/>
                <w:sz w:val="24"/>
                <w:szCs w:val="24"/>
              </w:rPr>
              <w:t>2,500</w:t>
            </w:r>
          </w:p>
        </w:tc>
        <w:tc>
          <w:tcPr>
            <w:tcW w:w="1301" w:type="dxa"/>
            <w:tcBorders>
              <w:bottom w:val="single" w:sz="4" w:space="0" w:color="auto"/>
            </w:tcBorders>
          </w:tcPr>
          <w:p w14:paraId="0E8F4AFB" w14:textId="77777777" w:rsidR="003140C0" w:rsidRPr="00973AF7" w:rsidRDefault="003140C0" w:rsidP="00C72836">
            <w:pPr>
              <w:keepNext/>
              <w:ind w:left="227" w:hanging="227"/>
              <w:jc w:val="right"/>
              <w:rPr>
                <w:rFonts w:cs="Calibri"/>
                <w:szCs w:val="24"/>
              </w:rPr>
            </w:pPr>
            <w:r w:rsidRPr="00973AF7">
              <w:rPr>
                <w:rFonts w:ascii="Calibri" w:hAnsi="Calibri" w:cs="Calibri"/>
                <w:sz w:val="24"/>
                <w:szCs w:val="24"/>
              </w:rPr>
              <w:t>0</w:t>
            </w:r>
          </w:p>
        </w:tc>
        <w:tc>
          <w:tcPr>
            <w:tcW w:w="1301" w:type="dxa"/>
            <w:tcBorders>
              <w:bottom w:val="single" w:sz="4" w:space="0" w:color="auto"/>
            </w:tcBorders>
          </w:tcPr>
          <w:p w14:paraId="2A3C435F" w14:textId="77777777" w:rsidR="003140C0" w:rsidRPr="00973AF7" w:rsidRDefault="003140C0" w:rsidP="00C72836">
            <w:pPr>
              <w:keepNext/>
              <w:ind w:left="227" w:hanging="227"/>
              <w:jc w:val="right"/>
              <w:rPr>
                <w:rFonts w:cs="Calibri"/>
                <w:szCs w:val="24"/>
              </w:rPr>
            </w:pPr>
            <w:r w:rsidRPr="00973AF7">
              <w:rPr>
                <w:rFonts w:ascii="Calibri" w:hAnsi="Calibri" w:cs="Calibri"/>
                <w:sz w:val="24"/>
                <w:szCs w:val="24"/>
              </w:rPr>
              <w:t>0</w:t>
            </w:r>
          </w:p>
        </w:tc>
        <w:tc>
          <w:tcPr>
            <w:tcW w:w="1302" w:type="dxa"/>
            <w:tcBorders>
              <w:bottom w:val="single" w:sz="4" w:space="0" w:color="auto"/>
            </w:tcBorders>
          </w:tcPr>
          <w:p w14:paraId="64F1523A" w14:textId="77777777" w:rsidR="003140C0" w:rsidRPr="00973AF7" w:rsidRDefault="003140C0" w:rsidP="00C72836">
            <w:pPr>
              <w:keepNext/>
              <w:ind w:left="227" w:hanging="227"/>
              <w:jc w:val="right"/>
              <w:rPr>
                <w:rFonts w:cs="Calibri"/>
                <w:b/>
                <w:bCs/>
                <w:szCs w:val="24"/>
              </w:rPr>
            </w:pPr>
            <w:r w:rsidRPr="00973AF7">
              <w:rPr>
                <w:rFonts w:ascii="Calibri" w:hAnsi="Calibri" w:cs="Calibri"/>
                <w:b/>
                <w:bCs/>
                <w:sz w:val="24"/>
                <w:szCs w:val="24"/>
              </w:rPr>
              <w:t>2,500</w:t>
            </w:r>
          </w:p>
        </w:tc>
      </w:tr>
    </w:tbl>
    <w:p w14:paraId="3DB31E1E" w14:textId="3127F9A7" w:rsidR="003140C0" w:rsidRPr="00973AF7" w:rsidRDefault="003140C0" w:rsidP="003140C0">
      <w:pPr>
        <w:pStyle w:val="Bbodytext"/>
      </w:pPr>
      <w:r w:rsidRPr="00973AF7">
        <w:t>The Government will provide additional financial support to the Cultural Facilities Corporation</w:t>
      </w:r>
      <w:r w:rsidR="00473880">
        <w:t xml:space="preserve">. </w:t>
      </w:r>
      <w:r w:rsidRPr="00973AF7">
        <w:t>This is a result of the loss of own-source revenue due to the sustained impact of COVID-19 on public gatherings, exhibition spaces and performance venues</w:t>
      </w:r>
      <w:r w:rsidR="00473880">
        <w:t xml:space="preserve">. </w:t>
      </w:r>
      <w:r w:rsidRPr="00973AF7">
        <w:t>This funding will support the arts community by allowing the Cultural Facilities Corporation to retain staff and provide rent abatements to tenants</w:t>
      </w:r>
      <w:r w:rsidR="00473880">
        <w:t xml:space="preserve">. </w:t>
      </w:r>
    </w:p>
    <w:p w14:paraId="066303F4" w14:textId="77777777" w:rsidR="003140C0" w:rsidRPr="00973AF7" w:rsidRDefault="003140C0" w:rsidP="003140C0">
      <w:pPr>
        <w:pStyle w:val="Heading3"/>
      </w:pPr>
      <w:r w:rsidRPr="00973AF7">
        <w:t>Increased Magistrates Court resourcing</w:t>
      </w:r>
    </w:p>
    <w:tbl>
      <w:tblPr>
        <w:tblW w:w="0" w:type="auto"/>
        <w:tblCellMar>
          <w:left w:w="0" w:type="dxa"/>
          <w:right w:w="0" w:type="dxa"/>
        </w:tblCellMar>
        <w:tblLook w:val="04A0" w:firstRow="1" w:lastRow="0" w:firstColumn="1" w:lastColumn="0" w:noHBand="0" w:noVBand="1"/>
      </w:tblPr>
      <w:tblGrid>
        <w:gridCol w:w="2510"/>
        <w:gridCol w:w="1301"/>
        <w:gridCol w:w="1301"/>
        <w:gridCol w:w="1301"/>
        <w:gridCol w:w="1301"/>
        <w:gridCol w:w="1302"/>
      </w:tblGrid>
      <w:tr w:rsidR="003140C0" w:rsidRPr="00973AF7" w14:paraId="3BC775BB" w14:textId="77777777" w:rsidTr="00C72836">
        <w:tc>
          <w:tcPr>
            <w:tcW w:w="2510" w:type="dxa"/>
            <w:tcBorders>
              <w:top w:val="single" w:sz="8" w:space="0" w:color="auto"/>
              <w:left w:val="nil"/>
              <w:bottom w:val="single" w:sz="8" w:space="0" w:color="auto"/>
              <w:right w:val="nil"/>
            </w:tcBorders>
            <w:tcMar>
              <w:top w:w="0" w:type="dxa"/>
              <w:left w:w="108" w:type="dxa"/>
              <w:bottom w:w="0" w:type="dxa"/>
              <w:right w:w="108" w:type="dxa"/>
            </w:tcMar>
          </w:tcPr>
          <w:p w14:paraId="1F9B57D2"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p>
        </w:tc>
        <w:tc>
          <w:tcPr>
            <w:tcW w:w="1301" w:type="dxa"/>
            <w:tcBorders>
              <w:top w:val="single" w:sz="8" w:space="0" w:color="auto"/>
              <w:left w:val="nil"/>
              <w:bottom w:val="single" w:sz="8" w:space="0" w:color="auto"/>
              <w:right w:val="nil"/>
            </w:tcBorders>
            <w:tcMar>
              <w:top w:w="0" w:type="dxa"/>
              <w:left w:w="108" w:type="dxa"/>
              <w:bottom w:w="0" w:type="dxa"/>
              <w:right w:w="108" w:type="dxa"/>
            </w:tcMar>
            <w:hideMark/>
          </w:tcPr>
          <w:p w14:paraId="2584E543"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2019-20</w:t>
            </w:r>
          </w:p>
          <w:p w14:paraId="765C0A3D"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$’000</w:t>
            </w:r>
          </w:p>
        </w:tc>
        <w:tc>
          <w:tcPr>
            <w:tcW w:w="1301" w:type="dxa"/>
            <w:tcBorders>
              <w:top w:val="single" w:sz="8" w:space="0" w:color="auto"/>
              <w:left w:val="nil"/>
              <w:bottom w:val="single" w:sz="8" w:space="0" w:color="auto"/>
              <w:right w:val="nil"/>
            </w:tcBorders>
            <w:tcMar>
              <w:top w:w="0" w:type="dxa"/>
              <w:left w:w="108" w:type="dxa"/>
              <w:bottom w:w="0" w:type="dxa"/>
              <w:right w:w="108" w:type="dxa"/>
            </w:tcMar>
            <w:hideMark/>
          </w:tcPr>
          <w:p w14:paraId="4401AA44"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2020-21</w:t>
            </w:r>
          </w:p>
          <w:p w14:paraId="0EEDBFF5"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$’000</w:t>
            </w:r>
          </w:p>
        </w:tc>
        <w:tc>
          <w:tcPr>
            <w:tcW w:w="1301" w:type="dxa"/>
            <w:tcBorders>
              <w:top w:val="single" w:sz="8" w:space="0" w:color="auto"/>
              <w:left w:val="nil"/>
              <w:bottom w:val="single" w:sz="8" w:space="0" w:color="auto"/>
              <w:right w:val="nil"/>
            </w:tcBorders>
            <w:tcMar>
              <w:top w:w="0" w:type="dxa"/>
              <w:left w:w="108" w:type="dxa"/>
              <w:bottom w:w="0" w:type="dxa"/>
              <w:right w:w="108" w:type="dxa"/>
            </w:tcMar>
            <w:hideMark/>
          </w:tcPr>
          <w:p w14:paraId="51E9D7E5"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2021-22</w:t>
            </w:r>
          </w:p>
          <w:p w14:paraId="130C4762"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$’000</w:t>
            </w:r>
          </w:p>
        </w:tc>
        <w:tc>
          <w:tcPr>
            <w:tcW w:w="1301" w:type="dxa"/>
            <w:tcBorders>
              <w:top w:val="single" w:sz="8" w:space="0" w:color="auto"/>
              <w:left w:val="nil"/>
              <w:bottom w:val="single" w:sz="8" w:space="0" w:color="auto"/>
              <w:right w:val="nil"/>
            </w:tcBorders>
            <w:tcMar>
              <w:top w:w="0" w:type="dxa"/>
              <w:left w:w="108" w:type="dxa"/>
              <w:bottom w:w="0" w:type="dxa"/>
              <w:right w:w="108" w:type="dxa"/>
            </w:tcMar>
            <w:hideMark/>
          </w:tcPr>
          <w:p w14:paraId="591B3040"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2022-23</w:t>
            </w:r>
          </w:p>
          <w:p w14:paraId="0316E331"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$’000</w:t>
            </w:r>
          </w:p>
        </w:tc>
        <w:tc>
          <w:tcPr>
            <w:tcW w:w="1302" w:type="dxa"/>
            <w:tcBorders>
              <w:top w:val="single" w:sz="8" w:space="0" w:color="auto"/>
              <w:left w:val="nil"/>
              <w:bottom w:val="single" w:sz="8" w:space="0" w:color="auto"/>
              <w:right w:val="nil"/>
            </w:tcBorders>
            <w:tcMar>
              <w:top w:w="0" w:type="dxa"/>
              <w:left w:w="108" w:type="dxa"/>
              <w:bottom w:w="0" w:type="dxa"/>
              <w:right w:w="108" w:type="dxa"/>
            </w:tcMar>
            <w:hideMark/>
          </w:tcPr>
          <w:p w14:paraId="20167D69" w14:textId="77777777" w:rsidR="003140C0" w:rsidRPr="00973AF7" w:rsidRDefault="003140C0" w:rsidP="00C72836">
            <w:pPr>
              <w:keepNext/>
              <w:keepLines/>
              <w:spacing w:after="0" w:line="240" w:lineRule="auto"/>
              <w:ind w:left="227" w:hanging="227"/>
              <w:jc w:val="right"/>
              <w:rPr>
                <w:rFonts w:ascii="Calibri" w:hAnsi="Calibri" w:cs="Calibri"/>
                <w:b/>
                <w:bCs/>
                <w:sz w:val="24"/>
                <w:szCs w:val="24"/>
              </w:rPr>
            </w:pPr>
            <w:r w:rsidRPr="00973AF7">
              <w:rPr>
                <w:rFonts w:ascii="Calibri" w:hAnsi="Calibri" w:cs="Calibri"/>
                <w:b/>
                <w:bCs/>
                <w:sz w:val="24"/>
                <w:szCs w:val="24"/>
              </w:rPr>
              <w:t xml:space="preserve">Total </w:t>
            </w:r>
          </w:p>
          <w:p w14:paraId="19D5D7E0" w14:textId="77777777" w:rsidR="003140C0" w:rsidRPr="00973AF7" w:rsidRDefault="003140C0" w:rsidP="00C72836">
            <w:pPr>
              <w:keepNext/>
              <w:keepLines/>
              <w:spacing w:after="0" w:line="240" w:lineRule="auto"/>
              <w:ind w:left="227" w:hanging="227"/>
              <w:jc w:val="right"/>
              <w:rPr>
                <w:rFonts w:ascii="Calibri" w:hAnsi="Calibri" w:cs="Calibri"/>
                <w:b/>
                <w:bCs/>
                <w:sz w:val="24"/>
                <w:szCs w:val="24"/>
              </w:rPr>
            </w:pPr>
            <w:r w:rsidRPr="00973AF7">
              <w:rPr>
                <w:rFonts w:ascii="Calibri" w:hAnsi="Calibri" w:cs="Calibri"/>
                <w:b/>
                <w:bCs/>
                <w:sz w:val="24"/>
                <w:szCs w:val="24"/>
              </w:rPr>
              <w:t>$’000</w:t>
            </w:r>
          </w:p>
        </w:tc>
      </w:tr>
      <w:tr w:rsidR="003140C0" w:rsidRPr="00973AF7" w14:paraId="43616534" w14:textId="77777777" w:rsidTr="00C72836">
        <w:tc>
          <w:tcPr>
            <w:tcW w:w="2510" w:type="dxa"/>
            <w:tcBorders>
              <w:top w:val="nil"/>
              <w:left w:val="nil"/>
              <w:bottom w:val="single" w:sz="8" w:space="0" w:color="auto"/>
              <w:right w:val="nil"/>
            </w:tcBorders>
            <w:tcMar>
              <w:top w:w="0" w:type="dxa"/>
              <w:left w:w="108" w:type="dxa"/>
              <w:bottom w:w="0" w:type="dxa"/>
              <w:right w:w="108" w:type="dxa"/>
            </w:tcMar>
            <w:hideMark/>
          </w:tcPr>
          <w:p w14:paraId="6DFC5A1A" w14:textId="77777777" w:rsidR="003140C0" w:rsidRPr="00973AF7" w:rsidRDefault="003140C0" w:rsidP="00C72836">
            <w:pPr>
              <w:keepNext/>
              <w:keepLines/>
              <w:spacing w:after="0" w:line="240" w:lineRule="auto"/>
              <w:ind w:left="227" w:hanging="227"/>
              <w:rPr>
                <w:rFonts w:ascii="Calibri" w:hAnsi="Calibri" w:cs="Calibri"/>
                <w:sz w:val="24"/>
                <w:szCs w:val="24"/>
              </w:rPr>
            </w:pPr>
            <w:r w:rsidRPr="00973AF7">
              <w:rPr>
                <w:rFonts w:ascii="Calibri" w:hAnsi="Calibri" w:cs="Calibri"/>
                <w:sz w:val="24"/>
                <w:szCs w:val="24"/>
              </w:rPr>
              <w:t>Expense</w:t>
            </w:r>
          </w:p>
        </w:tc>
        <w:tc>
          <w:tcPr>
            <w:tcW w:w="1301" w:type="dxa"/>
            <w:tcBorders>
              <w:top w:val="nil"/>
              <w:left w:val="nil"/>
              <w:bottom w:val="single" w:sz="8" w:space="0" w:color="auto"/>
              <w:right w:val="nil"/>
            </w:tcBorders>
            <w:tcMar>
              <w:top w:w="0" w:type="dxa"/>
              <w:left w:w="108" w:type="dxa"/>
              <w:bottom w:w="0" w:type="dxa"/>
              <w:right w:w="108" w:type="dxa"/>
            </w:tcMar>
            <w:hideMark/>
          </w:tcPr>
          <w:p w14:paraId="0519891E"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w:t>
            </w:r>
          </w:p>
        </w:tc>
        <w:tc>
          <w:tcPr>
            <w:tcW w:w="1301" w:type="dxa"/>
            <w:tcBorders>
              <w:top w:val="nil"/>
              <w:left w:val="nil"/>
              <w:bottom w:val="single" w:sz="8" w:space="0" w:color="auto"/>
              <w:right w:val="nil"/>
            </w:tcBorders>
            <w:tcMar>
              <w:top w:w="0" w:type="dxa"/>
              <w:left w:w="108" w:type="dxa"/>
              <w:bottom w:w="0" w:type="dxa"/>
              <w:right w:w="108" w:type="dxa"/>
            </w:tcMar>
            <w:hideMark/>
          </w:tcPr>
          <w:p w14:paraId="3FADE624"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310</w:t>
            </w:r>
          </w:p>
        </w:tc>
        <w:tc>
          <w:tcPr>
            <w:tcW w:w="1301" w:type="dxa"/>
            <w:tcBorders>
              <w:top w:val="nil"/>
              <w:left w:val="nil"/>
              <w:bottom w:val="single" w:sz="8" w:space="0" w:color="auto"/>
              <w:right w:val="nil"/>
            </w:tcBorders>
            <w:tcMar>
              <w:top w:w="0" w:type="dxa"/>
              <w:left w:w="108" w:type="dxa"/>
              <w:bottom w:w="0" w:type="dxa"/>
              <w:right w:w="108" w:type="dxa"/>
            </w:tcMar>
            <w:hideMark/>
          </w:tcPr>
          <w:p w14:paraId="0D62CD4C"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w:t>
            </w:r>
          </w:p>
        </w:tc>
        <w:tc>
          <w:tcPr>
            <w:tcW w:w="1301" w:type="dxa"/>
            <w:tcBorders>
              <w:top w:val="nil"/>
              <w:left w:val="nil"/>
              <w:bottom w:val="single" w:sz="8" w:space="0" w:color="auto"/>
              <w:right w:val="nil"/>
            </w:tcBorders>
            <w:tcMar>
              <w:top w:w="0" w:type="dxa"/>
              <w:left w:w="108" w:type="dxa"/>
              <w:bottom w:w="0" w:type="dxa"/>
              <w:right w:w="108" w:type="dxa"/>
            </w:tcMar>
            <w:hideMark/>
          </w:tcPr>
          <w:p w14:paraId="226A8466" w14:textId="77777777" w:rsidR="003140C0" w:rsidRPr="00973AF7" w:rsidRDefault="003140C0" w:rsidP="00C72836">
            <w:pPr>
              <w:keepNext/>
              <w:keepLines/>
              <w:spacing w:after="0" w:line="240" w:lineRule="auto"/>
              <w:ind w:left="227" w:hanging="227"/>
              <w:jc w:val="right"/>
              <w:rPr>
                <w:rFonts w:ascii="Calibri" w:hAnsi="Calibri" w:cs="Calibri"/>
                <w:sz w:val="24"/>
                <w:szCs w:val="24"/>
              </w:rPr>
            </w:pPr>
            <w:r w:rsidRPr="00973AF7">
              <w:rPr>
                <w:rFonts w:ascii="Calibri" w:hAnsi="Calibri" w:cs="Calibri"/>
                <w:sz w:val="24"/>
                <w:szCs w:val="24"/>
              </w:rPr>
              <w:t>0</w:t>
            </w:r>
          </w:p>
        </w:tc>
        <w:tc>
          <w:tcPr>
            <w:tcW w:w="1302" w:type="dxa"/>
            <w:tcBorders>
              <w:top w:val="nil"/>
              <w:left w:val="nil"/>
              <w:bottom w:val="single" w:sz="8" w:space="0" w:color="auto"/>
              <w:right w:val="nil"/>
            </w:tcBorders>
            <w:tcMar>
              <w:top w:w="0" w:type="dxa"/>
              <w:left w:w="108" w:type="dxa"/>
              <w:bottom w:w="0" w:type="dxa"/>
              <w:right w:w="108" w:type="dxa"/>
            </w:tcMar>
            <w:hideMark/>
          </w:tcPr>
          <w:p w14:paraId="6B6601D6" w14:textId="77777777" w:rsidR="003140C0" w:rsidRPr="00973AF7" w:rsidRDefault="003140C0" w:rsidP="00C72836">
            <w:pPr>
              <w:keepNext/>
              <w:keepLines/>
              <w:spacing w:after="0" w:line="240" w:lineRule="auto"/>
              <w:ind w:left="227" w:hanging="227"/>
              <w:jc w:val="right"/>
              <w:rPr>
                <w:rFonts w:ascii="Calibri" w:hAnsi="Calibri" w:cs="Calibri"/>
                <w:b/>
                <w:bCs/>
                <w:sz w:val="24"/>
                <w:szCs w:val="24"/>
              </w:rPr>
            </w:pPr>
            <w:r w:rsidRPr="00973AF7">
              <w:rPr>
                <w:rFonts w:ascii="Calibri" w:hAnsi="Calibri" w:cs="Calibri"/>
                <w:b/>
                <w:bCs/>
                <w:sz w:val="24"/>
                <w:szCs w:val="24"/>
              </w:rPr>
              <w:t>310</w:t>
            </w:r>
          </w:p>
        </w:tc>
      </w:tr>
    </w:tbl>
    <w:p w14:paraId="0A745C7A" w14:textId="65A14313" w:rsidR="003140C0" w:rsidRPr="00973AF7" w:rsidRDefault="003140C0" w:rsidP="003140C0">
      <w:pPr>
        <w:keepNext/>
        <w:keepLines/>
        <w:spacing w:before="120" w:after="120" w:line="240" w:lineRule="auto"/>
        <w:rPr>
          <w:sz w:val="24"/>
        </w:rPr>
      </w:pPr>
      <w:r w:rsidRPr="00973AF7">
        <w:rPr>
          <w:sz w:val="24"/>
        </w:rPr>
        <w:t xml:space="preserve">The Government will fund additional capacity in the Magistrates Court </w:t>
      </w:r>
      <w:r w:rsidR="00A72A37">
        <w:rPr>
          <w:sz w:val="24"/>
        </w:rPr>
        <w:t>to quickly address any</w:t>
      </w:r>
      <w:r w:rsidRPr="00973AF7">
        <w:rPr>
          <w:sz w:val="24"/>
        </w:rPr>
        <w:t xml:space="preserve"> backlog of cases as a result of reduced court activity arising from the COVID-19 pandemic</w:t>
      </w:r>
      <w:r w:rsidR="00473880">
        <w:rPr>
          <w:sz w:val="24"/>
        </w:rPr>
        <w:t xml:space="preserve">.  </w:t>
      </w:r>
    </w:p>
    <w:p w14:paraId="2D0C6CF8" w14:textId="77777777" w:rsidR="003140C0" w:rsidRPr="00973AF7" w:rsidRDefault="003140C0" w:rsidP="003140C0">
      <w:pPr>
        <w:pStyle w:val="Heading3"/>
      </w:pPr>
      <w:r w:rsidRPr="00973AF7">
        <w:rPr>
          <w:rStyle w:val="Emphasis"/>
          <w:i w:val="0"/>
          <w:iCs w:val="0"/>
        </w:rPr>
        <w:t xml:space="preserve">Increased support for our arts community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3140C0" w:rsidRPr="00973AF7" w14:paraId="5397133A" w14:textId="77777777" w:rsidTr="00C72836">
        <w:tc>
          <w:tcPr>
            <w:tcW w:w="2510" w:type="dxa"/>
            <w:tcBorders>
              <w:bottom w:val="single" w:sz="4" w:space="0" w:color="auto"/>
            </w:tcBorders>
            <w:shd w:val="clear" w:color="auto" w:fill="auto"/>
          </w:tcPr>
          <w:p w14:paraId="50BD25DB" w14:textId="77777777" w:rsidR="003140C0" w:rsidRPr="00973AF7" w:rsidRDefault="003140C0" w:rsidP="00C72836">
            <w:pPr>
              <w:pStyle w:val="Initiativefigures"/>
            </w:pPr>
          </w:p>
        </w:tc>
        <w:tc>
          <w:tcPr>
            <w:tcW w:w="1301" w:type="dxa"/>
            <w:tcBorders>
              <w:bottom w:val="single" w:sz="4" w:space="0" w:color="auto"/>
            </w:tcBorders>
            <w:shd w:val="clear" w:color="auto" w:fill="auto"/>
          </w:tcPr>
          <w:p w14:paraId="03623281" w14:textId="77777777" w:rsidR="003140C0" w:rsidRPr="00973AF7" w:rsidRDefault="003140C0" w:rsidP="00C72836">
            <w:pPr>
              <w:pStyle w:val="Initiativefigures"/>
            </w:pPr>
            <w:r w:rsidRPr="00973AF7">
              <w:t>2019-20</w:t>
            </w:r>
          </w:p>
          <w:p w14:paraId="69384093" w14:textId="77777777" w:rsidR="003140C0" w:rsidRPr="00973AF7" w:rsidRDefault="003140C0" w:rsidP="00C72836">
            <w:pPr>
              <w:pStyle w:val="Initiativefigures"/>
            </w:pPr>
            <w:r w:rsidRPr="00973AF7">
              <w:t>$’000</w:t>
            </w:r>
          </w:p>
        </w:tc>
        <w:tc>
          <w:tcPr>
            <w:tcW w:w="1301" w:type="dxa"/>
            <w:tcBorders>
              <w:bottom w:val="single" w:sz="4" w:space="0" w:color="auto"/>
            </w:tcBorders>
            <w:shd w:val="clear" w:color="auto" w:fill="auto"/>
          </w:tcPr>
          <w:p w14:paraId="2E122CB5" w14:textId="77777777" w:rsidR="003140C0" w:rsidRPr="00973AF7" w:rsidRDefault="003140C0" w:rsidP="00C72836">
            <w:pPr>
              <w:pStyle w:val="Initiativefigures"/>
            </w:pPr>
            <w:r w:rsidRPr="00973AF7">
              <w:t>2020-21</w:t>
            </w:r>
          </w:p>
          <w:p w14:paraId="0A49E569" w14:textId="77777777" w:rsidR="003140C0" w:rsidRPr="00973AF7" w:rsidRDefault="003140C0" w:rsidP="00C72836">
            <w:pPr>
              <w:pStyle w:val="Initiativefigures"/>
            </w:pPr>
            <w:r w:rsidRPr="00973AF7">
              <w:t>$’000</w:t>
            </w:r>
          </w:p>
        </w:tc>
        <w:tc>
          <w:tcPr>
            <w:tcW w:w="1301" w:type="dxa"/>
            <w:tcBorders>
              <w:bottom w:val="single" w:sz="4" w:space="0" w:color="auto"/>
            </w:tcBorders>
            <w:shd w:val="clear" w:color="auto" w:fill="auto"/>
          </w:tcPr>
          <w:p w14:paraId="4FF2B5D3" w14:textId="77777777" w:rsidR="003140C0" w:rsidRPr="00973AF7" w:rsidRDefault="003140C0" w:rsidP="00C72836">
            <w:pPr>
              <w:pStyle w:val="Initiativefigures"/>
            </w:pPr>
            <w:r w:rsidRPr="00973AF7">
              <w:t>2021-22</w:t>
            </w:r>
          </w:p>
          <w:p w14:paraId="2D3640D6" w14:textId="77777777" w:rsidR="003140C0" w:rsidRPr="00973AF7" w:rsidRDefault="003140C0" w:rsidP="00C72836">
            <w:pPr>
              <w:pStyle w:val="Initiativefigures"/>
            </w:pPr>
            <w:r w:rsidRPr="00973AF7">
              <w:t>$’000</w:t>
            </w:r>
          </w:p>
        </w:tc>
        <w:tc>
          <w:tcPr>
            <w:tcW w:w="1301" w:type="dxa"/>
            <w:tcBorders>
              <w:bottom w:val="single" w:sz="4" w:space="0" w:color="auto"/>
            </w:tcBorders>
            <w:shd w:val="clear" w:color="auto" w:fill="auto"/>
          </w:tcPr>
          <w:p w14:paraId="15621BC6" w14:textId="77777777" w:rsidR="003140C0" w:rsidRPr="00973AF7" w:rsidRDefault="003140C0" w:rsidP="00C72836">
            <w:pPr>
              <w:pStyle w:val="Initiativefigures"/>
            </w:pPr>
            <w:r w:rsidRPr="00973AF7">
              <w:t>2022-23</w:t>
            </w:r>
          </w:p>
          <w:p w14:paraId="6FD04016" w14:textId="77777777" w:rsidR="003140C0" w:rsidRPr="00973AF7" w:rsidRDefault="003140C0" w:rsidP="00C72836">
            <w:pPr>
              <w:pStyle w:val="Initiativefigures"/>
            </w:pPr>
            <w:r w:rsidRPr="00973AF7">
              <w:t>$’000</w:t>
            </w:r>
          </w:p>
        </w:tc>
        <w:tc>
          <w:tcPr>
            <w:tcW w:w="1302" w:type="dxa"/>
            <w:tcBorders>
              <w:bottom w:val="single" w:sz="4" w:space="0" w:color="auto"/>
            </w:tcBorders>
            <w:shd w:val="clear" w:color="auto" w:fill="auto"/>
          </w:tcPr>
          <w:p w14:paraId="23377EEF" w14:textId="77777777" w:rsidR="003140C0" w:rsidRPr="00973AF7" w:rsidRDefault="003140C0" w:rsidP="00C72836">
            <w:pPr>
              <w:pStyle w:val="Initiativefigures"/>
              <w:rPr>
                <w:b/>
                <w:bCs/>
              </w:rPr>
            </w:pPr>
            <w:r w:rsidRPr="00973AF7">
              <w:rPr>
                <w:b/>
                <w:bCs/>
              </w:rPr>
              <w:t xml:space="preserve">Total </w:t>
            </w:r>
          </w:p>
          <w:p w14:paraId="230D62E1" w14:textId="77777777" w:rsidR="003140C0" w:rsidRPr="00973AF7" w:rsidRDefault="003140C0" w:rsidP="00C72836">
            <w:pPr>
              <w:pStyle w:val="Initiativefigures"/>
              <w:rPr>
                <w:b/>
                <w:bCs/>
              </w:rPr>
            </w:pPr>
            <w:r w:rsidRPr="00973AF7">
              <w:rPr>
                <w:b/>
                <w:bCs/>
              </w:rPr>
              <w:t>$’000</w:t>
            </w:r>
          </w:p>
        </w:tc>
      </w:tr>
      <w:tr w:rsidR="003140C0" w:rsidRPr="00973AF7" w14:paraId="122F34BE" w14:textId="77777777" w:rsidTr="00C72836">
        <w:tc>
          <w:tcPr>
            <w:tcW w:w="2510" w:type="dxa"/>
            <w:tcBorders>
              <w:bottom w:val="single" w:sz="4" w:space="0" w:color="auto"/>
            </w:tcBorders>
            <w:shd w:val="clear" w:color="auto" w:fill="auto"/>
          </w:tcPr>
          <w:p w14:paraId="65C96877" w14:textId="77777777" w:rsidR="003140C0" w:rsidRPr="00973AF7" w:rsidRDefault="003140C0" w:rsidP="00C72836">
            <w:pPr>
              <w:pStyle w:val="Initiativetext"/>
            </w:pPr>
            <w:r w:rsidRPr="00973AF7">
              <w:t>Expense</w:t>
            </w:r>
          </w:p>
        </w:tc>
        <w:tc>
          <w:tcPr>
            <w:tcW w:w="1301" w:type="dxa"/>
            <w:tcBorders>
              <w:bottom w:val="single" w:sz="4" w:space="0" w:color="auto"/>
            </w:tcBorders>
            <w:shd w:val="clear" w:color="auto" w:fill="auto"/>
          </w:tcPr>
          <w:p w14:paraId="7AB9999C" w14:textId="77777777" w:rsidR="003140C0" w:rsidRPr="00973AF7" w:rsidRDefault="003140C0" w:rsidP="00C72836">
            <w:pPr>
              <w:pStyle w:val="Initiativefigures"/>
            </w:pPr>
            <w:r w:rsidRPr="00973AF7">
              <w:t>1,500</w:t>
            </w:r>
          </w:p>
        </w:tc>
        <w:tc>
          <w:tcPr>
            <w:tcW w:w="1301" w:type="dxa"/>
            <w:tcBorders>
              <w:bottom w:val="single" w:sz="4" w:space="0" w:color="auto"/>
            </w:tcBorders>
            <w:shd w:val="clear" w:color="auto" w:fill="auto"/>
          </w:tcPr>
          <w:p w14:paraId="3D46E398" w14:textId="77777777" w:rsidR="003140C0" w:rsidRPr="00973AF7" w:rsidRDefault="003140C0" w:rsidP="00C72836">
            <w:pPr>
              <w:pStyle w:val="Initiativefigures"/>
            </w:pPr>
            <w:r w:rsidRPr="00973AF7">
              <w:t>0</w:t>
            </w:r>
          </w:p>
        </w:tc>
        <w:tc>
          <w:tcPr>
            <w:tcW w:w="1301" w:type="dxa"/>
            <w:tcBorders>
              <w:bottom w:val="single" w:sz="4" w:space="0" w:color="auto"/>
            </w:tcBorders>
            <w:shd w:val="clear" w:color="auto" w:fill="auto"/>
          </w:tcPr>
          <w:p w14:paraId="639603AD" w14:textId="77777777" w:rsidR="003140C0" w:rsidRPr="00973AF7" w:rsidRDefault="003140C0" w:rsidP="00C72836">
            <w:pPr>
              <w:pStyle w:val="Initiativefigures"/>
            </w:pPr>
            <w:r w:rsidRPr="00973AF7">
              <w:t>0</w:t>
            </w:r>
          </w:p>
        </w:tc>
        <w:tc>
          <w:tcPr>
            <w:tcW w:w="1301" w:type="dxa"/>
            <w:tcBorders>
              <w:bottom w:val="single" w:sz="4" w:space="0" w:color="auto"/>
            </w:tcBorders>
            <w:shd w:val="clear" w:color="auto" w:fill="auto"/>
          </w:tcPr>
          <w:p w14:paraId="0D17EC4D" w14:textId="77777777" w:rsidR="003140C0" w:rsidRPr="00973AF7" w:rsidRDefault="003140C0" w:rsidP="00C72836">
            <w:pPr>
              <w:pStyle w:val="Initiativefigures"/>
            </w:pPr>
            <w:r w:rsidRPr="00973AF7">
              <w:t>0</w:t>
            </w:r>
          </w:p>
        </w:tc>
        <w:tc>
          <w:tcPr>
            <w:tcW w:w="1302" w:type="dxa"/>
            <w:tcBorders>
              <w:bottom w:val="single" w:sz="4" w:space="0" w:color="auto"/>
            </w:tcBorders>
            <w:shd w:val="clear" w:color="auto" w:fill="auto"/>
          </w:tcPr>
          <w:p w14:paraId="69D10163" w14:textId="77777777" w:rsidR="003140C0" w:rsidRPr="00973AF7" w:rsidRDefault="003140C0" w:rsidP="00C72836">
            <w:pPr>
              <w:pStyle w:val="Initiativefigures"/>
              <w:rPr>
                <w:b/>
                <w:bCs/>
              </w:rPr>
            </w:pPr>
            <w:r w:rsidRPr="00973AF7">
              <w:rPr>
                <w:b/>
                <w:bCs/>
              </w:rPr>
              <w:t>1,500</w:t>
            </w:r>
          </w:p>
        </w:tc>
      </w:tr>
    </w:tbl>
    <w:p w14:paraId="38072794" w14:textId="7ADB4294" w:rsidR="003140C0" w:rsidRPr="00973AF7" w:rsidRDefault="003140C0" w:rsidP="003140C0">
      <w:pPr>
        <w:pStyle w:val="Bbodytext"/>
      </w:pPr>
      <w:r w:rsidRPr="00973AF7">
        <w:t>Funding of up to $10,000 per artist has been made available for ACT practicing artists to support arts development and the sustainability of arts practice</w:t>
      </w:r>
      <w:r w:rsidR="00473880">
        <w:t xml:space="preserve">. </w:t>
      </w:r>
      <w:r w:rsidRPr="00973AF7">
        <w:t>This may include the development of works to be exhibited or performed into the future, research and development, making of new works or sharing of works via online platforms</w:t>
      </w:r>
      <w:r w:rsidR="00473880">
        <w:t xml:space="preserve">. </w:t>
      </w:r>
      <w:r w:rsidRPr="00973AF7">
        <w:t>A total of $500,000 has been provided through the recent grant round</w:t>
      </w:r>
      <w:r w:rsidR="00473880">
        <w:t xml:space="preserve">.  </w:t>
      </w:r>
    </w:p>
    <w:p w14:paraId="05862858" w14:textId="4551325A" w:rsidR="003140C0" w:rsidRPr="00973AF7" w:rsidRDefault="003140C0" w:rsidP="003140C0">
      <w:pPr>
        <w:pStyle w:val="Bbodytext"/>
      </w:pPr>
      <w:r w:rsidRPr="00973AF7">
        <w:t>Acknowledging the role of the arts in our community’s recovery, the ACT Government will also invest up to $1 million in Canberra arts organisations that have been impacted by the COVID-19 pandemic</w:t>
      </w:r>
      <w:r w:rsidR="00473880">
        <w:t xml:space="preserve">. </w:t>
      </w:r>
      <w:r w:rsidRPr="00973AF7">
        <w:t>Eligible arts organisations (currently funded Key Arts and Program organisations) have been invited to submit proposals for support by demonstrating their financial need this calendar year</w:t>
      </w:r>
      <w:r w:rsidR="00473880">
        <w:t xml:space="preserve">.  </w:t>
      </w:r>
    </w:p>
    <w:p w14:paraId="0100D8DA" w14:textId="77777777" w:rsidR="003140C0" w:rsidRPr="00973AF7" w:rsidRDefault="003140C0" w:rsidP="001312D8">
      <w:pPr>
        <w:pStyle w:val="Bbodytext"/>
      </w:pPr>
    </w:p>
    <w:p w14:paraId="10E05921" w14:textId="2300F814" w:rsidR="00492617" w:rsidRPr="00973AF7" w:rsidRDefault="00C05697" w:rsidP="003140C0">
      <w:pPr>
        <w:pStyle w:val="Heading3"/>
      </w:pPr>
      <w:r w:rsidRPr="00973AF7">
        <w:lastRenderedPageBreak/>
        <w:t>Mental Health Support Package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492617" w:rsidRPr="00973AF7" w14:paraId="019D619A" w14:textId="77777777" w:rsidTr="00282B20">
        <w:tc>
          <w:tcPr>
            <w:tcW w:w="2510" w:type="dxa"/>
            <w:tcBorders>
              <w:bottom w:val="single" w:sz="4" w:space="0" w:color="auto"/>
            </w:tcBorders>
          </w:tcPr>
          <w:p w14:paraId="09C7F646" w14:textId="77777777" w:rsidR="00492617" w:rsidRPr="00973AF7" w:rsidRDefault="00492617" w:rsidP="003140C0">
            <w:pPr>
              <w:pStyle w:val="Initiativefigures"/>
              <w:keepNext/>
              <w:keepLines/>
            </w:pPr>
          </w:p>
        </w:tc>
        <w:tc>
          <w:tcPr>
            <w:tcW w:w="1301" w:type="dxa"/>
            <w:tcBorders>
              <w:bottom w:val="single" w:sz="4" w:space="0" w:color="auto"/>
            </w:tcBorders>
          </w:tcPr>
          <w:p w14:paraId="573F8025" w14:textId="77777777" w:rsidR="00492617" w:rsidRPr="00973AF7" w:rsidRDefault="00492617" w:rsidP="003140C0">
            <w:pPr>
              <w:pStyle w:val="Initiativefigures"/>
              <w:keepNext/>
              <w:keepLines/>
            </w:pPr>
            <w:r w:rsidRPr="00973AF7">
              <w:t>2019-20</w:t>
            </w:r>
          </w:p>
          <w:p w14:paraId="3A23E56E" w14:textId="77777777" w:rsidR="00492617" w:rsidRPr="00973AF7" w:rsidRDefault="00492617" w:rsidP="003140C0">
            <w:pPr>
              <w:pStyle w:val="Initiativefigures"/>
              <w:keepNext/>
              <w:keepLines/>
            </w:pPr>
            <w:r w:rsidRPr="00973AF7">
              <w:t>$’000</w:t>
            </w:r>
          </w:p>
        </w:tc>
        <w:tc>
          <w:tcPr>
            <w:tcW w:w="1301" w:type="dxa"/>
            <w:tcBorders>
              <w:bottom w:val="single" w:sz="4" w:space="0" w:color="auto"/>
            </w:tcBorders>
          </w:tcPr>
          <w:p w14:paraId="0E258C93" w14:textId="77777777" w:rsidR="00492617" w:rsidRPr="00973AF7" w:rsidRDefault="00492617" w:rsidP="003140C0">
            <w:pPr>
              <w:pStyle w:val="Initiativefigures"/>
              <w:keepNext/>
              <w:keepLines/>
            </w:pPr>
            <w:r w:rsidRPr="00973AF7">
              <w:t>2020-21</w:t>
            </w:r>
          </w:p>
          <w:p w14:paraId="518E8E30" w14:textId="77777777" w:rsidR="00492617" w:rsidRPr="00973AF7" w:rsidRDefault="00492617" w:rsidP="003140C0">
            <w:pPr>
              <w:pStyle w:val="Initiativefigures"/>
              <w:keepNext/>
              <w:keepLines/>
            </w:pPr>
            <w:r w:rsidRPr="00973AF7">
              <w:t>$’000</w:t>
            </w:r>
          </w:p>
        </w:tc>
        <w:tc>
          <w:tcPr>
            <w:tcW w:w="1301" w:type="dxa"/>
            <w:tcBorders>
              <w:bottom w:val="single" w:sz="4" w:space="0" w:color="auto"/>
            </w:tcBorders>
          </w:tcPr>
          <w:p w14:paraId="64F19669" w14:textId="77777777" w:rsidR="00492617" w:rsidRPr="00973AF7" w:rsidRDefault="00492617" w:rsidP="003140C0">
            <w:pPr>
              <w:pStyle w:val="Initiativefigures"/>
              <w:keepNext/>
              <w:keepLines/>
            </w:pPr>
            <w:r w:rsidRPr="00973AF7">
              <w:t>2021-22</w:t>
            </w:r>
          </w:p>
          <w:p w14:paraId="23242538" w14:textId="77777777" w:rsidR="00492617" w:rsidRPr="00973AF7" w:rsidRDefault="00492617" w:rsidP="003140C0">
            <w:pPr>
              <w:pStyle w:val="Initiativefigures"/>
              <w:keepNext/>
              <w:keepLines/>
            </w:pPr>
            <w:r w:rsidRPr="00973AF7">
              <w:t>$’000</w:t>
            </w:r>
          </w:p>
        </w:tc>
        <w:tc>
          <w:tcPr>
            <w:tcW w:w="1301" w:type="dxa"/>
            <w:tcBorders>
              <w:bottom w:val="single" w:sz="4" w:space="0" w:color="auto"/>
            </w:tcBorders>
          </w:tcPr>
          <w:p w14:paraId="3CB49E79" w14:textId="77777777" w:rsidR="00492617" w:rsidRPr="00973AF7" w:rsidRDefault="00492617" w:rsidP="003140C0">
            <w:pPr>
              <w:pStyle w:val="Initiativefigures"/>
              <w:keepNext/>
              <w:keepLines/>
            </w:pPr>
            <w:r w:rsidRPr="00973AF7">
              <w:t>2022-23</w:t>
            </w:r>
          </w:p>
          <w:p w14:paraId="78306C95" w14:textId="77777777" w:rsidR="00492617" w:rsidRPr="00973AF7" w:rsidRDefault="00492617" w:rsidP="003140C0">
            <w:pPr>
              <w:pStyle w:val="Initiativefigures"/>
              <w:keepNext/>
              <w:keepLines/>
            </w:pPr>
            <w:r w:rsidRPr="00973AF7">
              <w:t>$’000</w:t>
            </w:r>
          </w:p>
        </w:tc>
        <w:tc>
          <w:tcPr>
            <w:tcW w:w="1302" w:type="dxa"/>
            <w:tcBorders>
              <w:bottom w:val="single" w:sz="4" w:space="0" w:color="auto"/>
            </w:tcBorders>
          </w:tcPr>
          <w:p w14:paraId="74C28E28" w14:textId="77777777" w:rsidR="00492617" w:rsidRPr="00973AF7" w:rsidRDefault="00492617" w:rsidP="003140C0">
            <w:pPr>
              <w:pStyle w:val="Initiativefigures"/>
              <w:keepNext/>
              <w:keepLines/>
              <w:rPr>
                <w:b/>
                <w:bCs/>
              </w:rPr>
            </w:pPr>
            <w:r w:rsidRPr="00973AF7">
              <w:rPr>
                <w:b/>
                <w:bCs/>
              </w:rPr>
              <w:t xml:space="preserve">Total </w:t>
            </w:r>
          </w:p>
          <w:p w14:paraId="66D48273" w14:textId="77777777" w:rsidR="00492617" w:rsidRPr="00973AF7" w:rsidRDefault="00492617" w:rsidP="003140C0">
            <w:pPr>
              <w:pStyle w:val="Initiativefigures"/>
              <w:keepNext/>
              <w:keepLines/>
              <w:rPr>
                <w:b/>
                <w:bCs/>
              </w:rPr>
            </w:pPr>
            <w:r w:rsidRPr="00973AF7">
              <w:rPr>
                <w:b/>
                <w:bCs/>
              </w:rPr>
              <w:t>$’000</w:t>
            </w:r>
          </w:p>
        </w:tc>
      </w:tr>
      <w:tr w:rsidR="002F7E99" w:rsidRPr="00973AF7" w14:paraId="33AFED00" w14:textId="77777777" w:rsidTr="001367E1">
        <w:tc>
          <w:tcPr>
            <w:tcW w:w="2510" w:type="dxa"/>
            <w:tcBorders>
              <w:bottom w:val="nil"/>
            </w:tcBorders>
          </w:tcPr>
          <w:p w14:paraId="0DB61309" w14:textId="77777777" w:rsidR="00492617" w:rsidRPr="00973AF7" w:rsidRDefault="00492617" w:rsidP="003140C0">
            <w:pPr>
              <w:pStyle w:val="Initiativetext"/>
              <w:keepNext/>
              <w:keepLines/>
            </w:pPr>
            <w:r w:rsidRPr="00973AF7">
              <w:t>Expense</w:t>
            </w:r>
          </w:p>
        </w:tc>
        <w:tc>
          <w:tcPr>
            <w:tcW w:w="1301" w:type="dxa"/>
            <w:tcBorders>
              <w:bottom w:val="nil"/>
            </w:tcBorders>
          </w:tcPr>
          <w:p w14:paraId="1D04FBB1" w14:textId="7739E783" w:rsidR="00492617" w:rsidRPr="00973AF7" w:rsidRDefault="00410C65" w:rsidP="003140C0">
            <w:pPr>
              <w:pStyle w:val="Initiativefigures"/>
              <w:keepNext/>
              <w:keepLines/>
            </w:pPr>
            <w:r w:rsidRPr="00973AF7">
              <w:t>2</w:t>
            </w:r>
            <w:r w:rsidR="00F27B11" w:rsidRPr="00973AF7">
              <w:t>92</w:t>
            </w:r>
          </w:p>
        </w:tc>
        <w:tc>
          <w:tcPr>
            <w:tcW w:w="1301" w:type="dxa"/>
            <w:tcBorders>
              <w:bottom w:val="nil"/>
            </w:tcBorders>
          </w:tcPr>
          <w:p w14:paraId="633875DA" w14:textId="02C73579" w:rsidR="00492617" w:rsidRPr="00973AF7" w:rsidRDefault="00F27B11" w:rsidP="003140C0">
            <w:pPr>
              <w:pStyle w:val="Initiativefigures"/>
              <w:keepNext/>
              <w:keepLines/>
            </w:pPr>
            <w:r w:rsidRPr="00973AF7">
              <w:t>3,</w:t>
            </w:r>
            <w:r w:rsidR="00B844E9" w:rsidRPr="00973AF7">
              <w:t>930</w:t>
            </w:r>
          </w:p>
        </w:tc>
        <w:tc>
          <w:tcPr>
            <w:tcW w:w="1301" w:type="dxa"/>
            <w:tcBorders>
              <w:bottom w:val="nil"/>
            </w:tcBorders>
          </w:tcPr>
          <w:p w14:paraId="080E0567" w14:textId="77777777" w:rsidR="00492617" w:rsidRPr="00973AF7" w:rsidRDefault="00492617" w:rsidP="003140C0">
            <w:pPr>
              <w:pStyle w:val="Initiativefigures"/>
              <w:keepNext/>
              <w:keepLines/>
            </w:pPr>
            <w:r w:rsidRPr="00973AF7">
              <w:t>0</w:t>
            </w:r>
          </w:p>
        </w:tc>
        <w:tc>
          <w:tcPr>
            <w:tcW w:w="1301" w:type="dxa"/>
            <w:tcBorders>
              <w:bottom w:val="nil"/>
            </w:tcBorders>
          </w:tcPr>
          <w:p w14:paraId="1CF1EA15" w14:textId="77777777" w:rsidR="00492617" w:rsidRPr="00973AF7" w:rsidRDefault="00492617" w:rsidP="003140C0">
            <w:pPr>
              <w:pStyle w:val="Initiativefigures"/>
              <w:keepNext/>
              <w:keepLines/>
            </w:pPr>
            <w:r w:rsidRPr="00973AF7">
              <w:t>0</w:t>
            </w:r>
          </w:p>
        </w:tc>
        <w:tc>
          <w:tcPr>
            <w:tcW w:w="1302" w:type="dxa"/>
            <w:tcBorders>
              <w:bottom w:val="nil"/>
            </w:tcBorders>
          </w:tcPr>
          <w:p w14:paraId="07ADDACF" w14:textId="03737B0A" w:rsidR="00492617" w:rsidRPr="00973AF7" w:rsidRDefault="002F7E99" w:rsidP="003140C0">
            <w:pPr>
              <w:pStyle w:val="Initiativefigures"/>
              <w:keepNext/>
              <w:keepLines/>
              <w:rPr>
                <w:b/>
                <w:bCs/>
              </w:rPr>
            </w:pPr>
            <w:r w:rsidRPr="00973AF7">
              <w:rPr>
                <w:b/>
                <w:bCs/>
              </w:rPr>
              <w:t>4,</w:t>
            </w:r>
            <w:r w:rsidR="00410C65" w:rsidRPr="00973AF7">
              <w:rPr>
                <w:b/>
                <w:bCs/>
              </w:rPr>
              <w:t>2</w:t>
            </w:r>
            <w:r w:rsidRPr="00973AF7">
              <w:rPr>
                <w:b/>
                <w:bCs/>
              </w:rPr>
              <w:t>22</w:t>
            </w:r>
          </w:p>
        </w:tc>
      </w:tr>
      <w:tr w:rsidR="001367E1" w:rsidRPr="00973AF7" w14:paraId="793F6A1B" w14:textId="77777777" w:rsidTr="00282B20">
        <w:tc>
          <w:tcPr>
            <w:tcW w:w="2510" w:type="dxa"/>
            <w:tcBorders>
              <w:top w:val="nil"/>
              <w:bottom w:val="single" w:sz="4" w:space="0" w:color="auto"/>
            </w:tcBorders>
          </w:tcPr>
          <w:p w14:paraId="7E66827A" w14:textId="1BDC720E" w:rsidR="001367E1" w:rsidRPr="00973AF7" w:rsidRDefault="001367E1" w:rsidP="003140C0">
            <w:pPr>
              <w:pStyle w:val="Initiativetext"/>
              <w:keepNext/>
              <w:keepLines/>
            </w:pPr>
            <w:r w:rsidRPr="00973AF7">
              <w:t xml:space="preserve">Offset </w:t>
            </w:r>
            <w:r w:rsidR="007F153E">
              <w:t>–</w:t>
            </w:r>
            <w:r w:rsidRPr="00973AF7">
              <w:t xml:space="preserve"> </w:t>
            </w:r>
            <w:r w:rsidR="003D74C5">
              <w:t>e</w:t>
            </w:r>
            <w:r w:rsidRPr="00973AF7">
              <w:t>xpense</w:t>
            </w:r>
          </w:p>
        </w:tc>
        <w:tc>
          <w:tcPr>
            <w:tcW w:w="1301" w:type="dxa"/>
            <w:tcBorders>
              <w:top w:val="nil"/>
              <w:bottom w:val="single" w:sz="4" w:space="0" w:color="auto"/>
            </w:tcBorders>
          </w:tcPr>
          <w:p w14:paraId="3DA888E4" w14:textId="7B8D1213" w:rsidR="001367E1" w:rsidRPr="00973AF7" w:rsidRDefault="00410C65" w:rsidP="003140C0">
            <w:pPr>
              <w:pStyle w:val="Initiativefigures"/>
              <w:keepNext/>
              <w:keepLines/>
            </w:pPr>
            <w:r w:rsidRPr="00973AF7">
              <w:t>-10</w:t>
            </w:r>
            <w:r w:rsidR="00B844E9" w:rsidRPr="00973AF7">
              <w:t>0</w:t>
            </w:r>
          </w:p>
        </w:tc>
        <w:tc>
          <w:tcPr>
            <w:tcW w:w="1301" w:type="dxa"/>
            <w:tcBorders>
              <w:top w:val="nil"/>
              <w:bottom w:val="single" w:sz="4" w:space="0" w:color="auto"/>
            </w:tcBorders>
          </w:tcPr>
          <w:p w14:paraId="0598755D" w14:textId="6854E133" w:rsidR="001367E1" w:rsidRPr="00973AF7" w:rsidRDefault="002F7E99" w:rsidP="003140C0">
            <w:pPr>
              <w:pStyle w:val="Initiativefigures"/>
              <w:keepNext/>
              <w:keepLines/>
            </w:pPr>
            <w:r w:rsidRPr="00973AF7">
              <w:t>-</w:t>
            </w:r>
            <w:r w:rsidR="00B844E9" w:rsidRPr="00973AF7">
              <w:t>135</w:t>
            </w:r>
          </w:p>
        </w:tc>
        <w:tc>
          <w:tcPr>
            <w:tcW w:w="1301" w:type="dxa"/>
            <w:tcBorders>
              <w:top w:val="nil"/>
              <w:bottom w:val="single" w:sz="4" w:space="0" w:color="auto"/>
            </w:tcBorders>
          </w:tcPr>
          <w:p w14:paraId="44DB1ECB" w14:textId="1B504C9B" w:rsidR="001367E1" w:rsidRPr="00973AF7" w:rsidRDefault="002F7E99" w:rsidP="003140C0">
            <w:pPr>
              <w:pStyle w:val="Initiativefigures"/>
              <w:keepNext/>
              <w:keepLines/>
            </w:pPr>
            <w:r w:rsidRPr="00973AF7">
              <w:t>0</w:t>
            </w:r>
          </w:p>
        </w:tc>
        <w:tc>
          <w:tcPr>
            <w:tcW w:w="1301" w:type="dxa"/>
            <w:tcBorders>
              <w:top w:val="nil"/>
              <w:bottom w:val="single" w:sz="4" w:space="0" w:color="auto"/>
            </w:tcBorders>
          </w:tcPr>
          <w:p w14:paraId="25391974" w14:textId="72978489" w:rsidR="001367E1" w:rsidRPr="00973AF7" w:rsidRDefault="002F7E99" w:rsidP="003140C0">
            <w:pPr>
              <w:pStyle w:val="Initiativefigures"/>
              <w:keepNext/>
              <w:keepLines/>
            </w:pPr>
            <w:r w:rsidRPr="00973AF7">
              <w:t>0</w:t>
            </w:r>
          </w:p>
        </w:tc>
        <w:tc>
          <w:tcPr>
            <w:tcW w:w="1302" w:type="dxa"/>
            <w:tcBorders>
              <w:top w:val="nil"/>
              <w:bottom w:val="single" w:sz="4" w:space="0" w:color="auto"/>
            </w:tcBorders>
          </w:tcPr>
          <w:p w14:paraId="1A924A77" w14:textId="0043D839" w:rsidR="001367E1" w:rsidRPr="00973AF7" w:rsidRDefault="002F7E99" w:rsidP="003140C0">
            <w:pPr>
              <w:pStyle w:val="Initiativefigures"/>
              <w:keepNext/>
              <w:keepLines/>
              <w:rPr>
                <w:b/>
                <w:bCs/>
              </w:rPr>
            </w:pPr>
            <w:r w:rsidRPr="00973AF7">
              <w:rPr>
                <w:b/>
                <w:bCs/>
              </w:rPr>
              <w:t>-</w:t>
            </w:r>
            <w:r w:rsidR="00410C65" w:rsidRPr="00973AF7">
              <w:rPr>
                <w:b/>
                <w:bCs/>
              </w:rPr>
              <w:t>2</w:t>
            </w:r>
            <w:r w:rsidRPr="00973AF7">
              <w:rPr>
                <w:b/>
                <w:bCs/>
              </w:rPr>
              <w:t>35</w:t>
            </w:r>
          </w:p>
        </w:tc>
      </w:tr>
    </w:tbl>
    <w:p w14:paraId="23DBA9A2" w14:textId="1BF5E8D8" w:rsidR="00C05697" w:rsidRPr="00973AF7" w:rsidRDefault="00416595" w:rsidP="00416595">
      <w:pPr>
        <w:spacing w:before="120" w:after="120" w:line="240" w:lineRule="auto"/>
        <w:rPr>
          <w:bCs/>
          <w:sz w:val="24"/>
        </w:rPr>
      </w:pPr>
      <w:r w:rsidRPr="00973AF7">
        <w:rPr>
          <w:bCs/>
          <w:sz w:val="24"/>
        </w:rPr>
        <w:t xml:space="preserve">The Government </w:t>
      </w:r>
      <w:r w:rsidR="00E24A83">
        <w:rPr>
          <w:bCs/>
          <w:sz w:val="24"/>
        </w:rPr>
        <w:t>is</w:t>
      </w:r>
      <w:r w:rsidR="00E24A83" w:rsidRPr="00973AF7">
        <w:rPr>
          <w:bCs/>
          <w:sz w:val="24"/>
        </w:rPr>
        <w:t xml:space="preserve"> </w:t>
      </w:r>
      <w:r w:rsidRPr="00973AF7">
        <w:rPr>
          <w:bCs/>
          <w:sz w:val="24"/>
        </w:rPr>
        <w:t>provid</w:t>
      </w:r>
      <w:r w:rsidR="00E24A83">
        <w:rPr>
          <w:bCs/>
          <w:sz w:val="24"/>
        </w:rPr>
        <w:t>ing</w:t>
      </w:r>
      <w:r w:rsidRPr="00973AF7">
        <w:rPr>
          <w:bCs/>
          <w:sz w:val="24"/>
        </w:rPr>
        <w:t xml:space="preserve"> additional mental health support for Canberrans impacted by COVID</w:t>
      </w:r>
      <w:r w:rsidRPr="00973AF7">
        <w:rPr>
          <w:bCs/>
          <w:sz w:val="24"/>
        </w:rPr>
        <w:noBreakHyphen/>
        <w:t>19</w:t>
      </w:r>
      <w:r w:rsidR="00473880">
        <w:rPr>
          <w:bCs/>
          <w:sz w:val="24"/>
        </w:rPr>
        <w:t xml:space="preserve">. </w:t>
      </w:r>
      <w:r w:rsidRPr="00973AF7">
        <w:rPr>
          <w:bCs/>
          <w:sz w:val="24"/>
        </w:rPr>
        <w:t>Increased support will be provided across a range of services, including early intervention, expanded step-down support and additional counselling services</w:t>
      </w:r>
      <w:r w:rsidR="00473880">
        <w:rPr>
          <w:bCs/>
          <w:sz w:val="24"/>
        </w:rPr>
        <w:t xml:space="preserve">.  </w:t>
      </w:r>
    </w:p>
    <w:p w14:paraId="6DD52E28" w14:textId="6D7CE3FB" w:rsidR="00416595" w:rsidRPr="00973AF7" w:rsidRDefault="00416595" w:rsidP="00416595">
      <w:pPr>
        <w:spacing w:before="120" w:after="120" w:line="240" w:lineRule="auto"/>
        <w:rPr>
          <w:bCs/>
          <w:sz w:val="24"/>
        </w:rPr>
      </w:pPr>
      <w:r w:rsidRPr="00973AF7">
        <w:rPr>
          <w:bCs/>
          <w:sz w:val="24"/>
        </w:rPr>
        <w:t>Funding will increase capacity of both government and non-government service delivery</w:t>
      </w:r>
      <w:r w:rsidR="00410C65" w:rsidRPr="00973AF7">
        <w:rPr>
          <w:bCs/>
          <w:sz w:val="24"/>
        </w:rPr>
        <w:t>, including Lifeline</w:t>
      </w:r>
      <w:r w:rsidR="00473880">
        <w:rPr>
          <w:bCs/>
          <w:sz w:val="24"/>
        </w:rPr>
        <w:t xml:space="preserve">. </w:t>
      </w:r>
      <w:r w:rsidR="002F7E99" w:rsidRPr="00973AF7">
        <w:rPr>
          <w:bCs/>
          <w:sz w:val="24"/>
        </w:rPr>
        <w:t xml:space="preserve">This initiative is partially funded from </w:t>
      </w:r>
      <w:r w:rsidR="00C05697" w:rsidRPr="00973AF7">
        <w:rPr>
          <w:bCs/>
          <w:sz w:val="24"/>
        </w:rPr>
        <w:t xml:space="preserve">reprioritising </w:t>
      </w:r>
      <w:r w:rsidR="002F7E99" w:rsidRPr="00973AF7">
        <w:rPr>
          <w:bCs/>
          <w:sz w:val="24"/>
        </w:rPr>
        <w:t>existing resources</w:t>
      </w:r>
      <w:r w:rsidR="00473880">
        <w:rPr>
          <w:bCs/>
          <w:sz w:val="24"/>
        </w:rPr>
        <w:t xml:space="preserve">. </w:t>
      </w:r>
    </w:p>
    <w:p w14:paraId="57E7BA17" w14:textId="77777777" w:rsidR="00C8152E" w:rsidRPr="00973AF7" w:rsidRDefault="00C8152E" w:rsidP="00C8152E">
      <w:pPr>
        <w:pStyle w:val="Heading3"/>
      </w:pPr>
      <w:r w:rsidRPr="00973AF7">
        <w:t>More support for the healthcare system</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C8152E" w:rsidRPr="00973AF7" w14:paraId="2FE8C7BC" w14:textId="77777777" w:rsidTr="007D7828">
        <w:tc>
          <w:tcPr>
            <w:tcW w:w="2510" w:type="dxa"/>
            <w:tcBorders>
              <w:bottom w:val="single" w:sz="4" w:space="0" w:color="auto"/>
            </w:tcBorders>
          </w:tcPr>
          <w:p w14:paraId="6FDAD9B2" w14:textId="77777777" w:rsidR="00C8152E" w:rsidRPr="00973AF7" w:rsidRDefault="00C8152E" w:rsidP="007D7828">
            <w:pPr>
              <w:pStyle w:val="Initiativefigures"/>
            </w:pPr>
          </w:p>
        </w:tc>
        <w:tc>
          <w:tcPr>
            <w:tcW w:w="1301" w:type="dxa"/>
            <w:tcBorders>
              <w:bottom w:val="single" w:sz="4" w:space="0" w:color="auto"/>
            </w:tcBorders>
          </w:tcPr>
          <w:p w14:paraId="39DE7D99" w14:textId="77777777" w:rsidR="00C8152E" w:rsidRPr="00973AF7" w:rsidRDefault="00C8152E" w:rsidP="007D7828">
            <w:pPr>
              <w:pStyle w:val="Initiativefigures"/>
            </w:pPr>
            <w:r w:rsidRPr="00973AF7">
              <w:t>2019-20</w:t>
            </w:r>
          </w:p>
          <w:p w14:paraId="27851AD8" w14:textId="77777777" w:rsidR="00C8152E" w:rsidRPr="00973AF7" w:rsidRDefault="00C8152E" w:rsidP="007D7828">
            <w:pPr>
              <w:pStyle w:val="Initiativefigures"/>
            </w:pPr>
            <w:r w:rsidRPr="00973AF7">
              <w:t>$’000</w:t>
            </w:r>
          </w:p>
        </w:tc>
        <w:tc>
          <w:tcPr>
            <w:tcW w:w="1301" w:type="dxa"/>
            <w:tcBorders>
              <w:bottom w:val="single" w:sz="4" w:space="0" w:color="auto"/>
            </w:tcBorders>
          </w:tcPr>
          <w:p w14:paraId="38639627" w14:textId="77777777" w:rsidR="00C8152E" w:rsidRPr="00973AF7" w:rsidRDefault="00C8152E" w:rsidP="007D7828">
            <w:pPr>
              <w:pStyle w:val="Initiativefigures"/>
            </w:pPr>
            <w:r w:rsidRPr="00973AF7">
              <w:t>2020-21</w:t>
            </w:r>
          </w:p>
          <w:p w14:paraId="5F842D28" w14:textId="77777777" w:rsidR="00C8152E" w:rsidRPr="00973AF7" w:rsidRDefault="00C8152E" w:rsidP="007D7828">
            <w:pPr>
              <w:pStyle w:val="Initiativefigures"/>
            </w:pPr>
            <w:r w:rsidRPr="00973AF7">
              <w:t>$’000</w:t>
            </w:r>
          </w:p>
        </w:tc>
        <w:tc>
          <w:tcPr>
            <w:tcW w:w="1301" w:type="dxa"/>
            <w:tcBorders>
              <w:bottom w:val="single" w:sz="4" w:space="0" w:color="auto"/>
            </w:tcBorders>
          </w:tcPr>
          <w:p w14:paraId="6CC5534F" w14:textId="77777777" w:rsidR="00C8152E" w:rsidRPr="00973AF7" w:rsidRDefault="00C8152E" w:rsidP="007D7828">
            <w:pPr>
              <w:pStyle w:val="Initiativefigures"/>
            </w:pPr>
            <w:r w:rsidRPr="00973AF7">
              <w:t>2021-22</w:t>
            </w:r>
          </w:p>
          <w:p w14:paraId="691A0099" w14:textId="77777777" w:rsidR="00C8152E" w:rsidRPr="00973AF7" w:rsidRDefault="00C8152E" w:rsidP="007D7828">
            <w:pPr>
              <w:pStyle w:val="Initiativefigures"/>
            </w:pPr>
            <w:r w:rsidRPr="00973AF7">
              <w:t>$’000</w:t>
            </w:r>
          </w:p>
        </w:tc>
        <w:tc>
          <w:tcPr>
            <w:tcW w:w="1301" w:type="dxa"/>
            <w:tcBorders>
              <w:bottom w:val="single" w:sz="4" w:space="0" w:color="auto"/>
            </w:tcBorders>
          </w:tcPr>
          <w:p w14:paraId="2595D403" w14:textId="77777777" w:rsidR="00C8152E" w:rsidRPr="00973AF7" w:rsidRDefault="00C8152E" w:rsidP="007D7828">
            <w:pPr>
              <w:pStyle w:val="Initiativefigures"/>
            </w:pPr>
            <w:r w:rsidRPr="00973AF7">
              <w:t>2022-23</w:t>
            </w:r>
          </w:p>
          <w:p w14:paraId="7FF3362D" w14:textId="77777777" w:rsidR="00C8152E" w:rsidRPr="00973AF7" w:rsidRDefault="00C8152E" w:rsidP="007D7828">
            <w:pPr>
              <w:pStyle w:val="Initiativefigures"/>
            </w:pPr>
            <w:r w:rsidRPr="00973AF7">
              <w:t>$’000</w:t>
            </w:r>
          </w:p>
        </w:tc>
        <w:tc>
          <w:tcPr>
            <w:tcW w:w="1302" w:type="dxa"/>
            <w:tcBorders>
              <w:bottom w:val="single" w:sz="4" w:space="0" w:color="auto"/>
            </w:tcBorders>
          </w:tcPr>
          <w:p w14:paraId="30725A4E" w14:textId="77777777" w:rsidR="00C8152E" w:rsidRPr="007F153E" w:rsidRDefault="00C8152E" w:rsidP="007D7828">
            <w:pPr>
              <w:pStyle w:val="Initiativefigures"/>
              <w:rPr>
                <w:b/>
                <w:bCs/>
              </w:rPr>
            </w:pPr>
            <w:r w:rsidRPr="007F153E">
              <w:rPr>
                <w:b/>
                <w:bCs/>
              </w:rPr>
              <w:t xml:space="preserve">Total </w:t>
            </w:r>
          </w:p>
          <w:p w14:paraId="2DFF22DA" w14:textId="77777777" w:rsidR="00C8152E" w:rsidRPr="00973AF7" w:rsidRDefault="00C8152E" w:rsidP="007D7828">
            <w:pPr>
              <w:pStyle w:val="Initiativefigures"/>
            </w:pPr>
            <w:r w:rsidRPr="007F153E">
              <w:rPr>
                <w:b/>
                <w:bCs/>
              </w:rPr>
              <w:t>$’000</w:t>
            </w:r>
          </w:p>
        </w:tc>
      </w:tr>
      <w:tr w:rsidR="00C8152E" w:rsidRPr="00973AF7" w14:paraId="5BE5E727" w14:textId="77777777" w:rsidTr="007D7828">
        <w:tc>
          <w:tcPr>
            <w:tcW w:w="2510" w:type="dxa"/>
            <w:tcBorders>
              <w:bottom w:val="single" w:sz="4" w:space="0" w:color="auto"/>
            </w:tcBorders>
          </w:tcPr>
          <w:p w14:paraId="1043362A" w14:textId="77777777" w:rsidR="00C8152E" w:rsidRPr="00973AF7" w:rsidRDefault="00C8152E" w:rsidP="007D7828">
            <w:pPr>
              <w:pStyle w:val="Initiativetext"/>
            </w:pPr>
            <w:r w:rsidRPr="00973AF7">
              <w:t>Expense</w:t>
            </w:r>
          </w:p>
        </w:tc>
        <w:tc>
          <w:tcPr>
            <w:tcW w:w="1301" w:type="dxa"/>
            <w:tcBorders>
              <w:bottom w:val="single" w:sz="4" w:space="0" w:color="auto"/>
            </w:tcBorders>
          </w:tcPr>
          <w:p w14:paraId="7D81ABF1" w14:textId="486AB72C" w:rsidR="00C8152E" w:rsidRPr="009C357F" w:rsidRDefault="00B85838" w:rsidP="007D7828">
            <w:pPr>
              <w:pStyle w:val="Initiativefigures"/>
            </w:pPr>
            <w:r>
              <w:t>TBC</w:t>
            </w:r>
          </w:p>
        </w:tc>
        <w:tc>
          <w:tcPr>
            <w:tcW w:w="1301" w:type="dxa"/>
            <w:tcBorders>
              <w:bottom w:val="single" w:sz="4" w:space="0" w:color="auto"/>
            </w:tcBorders>
          </w:tcPr>
          <w:p w14:paraId="72AE2FB6" w14:textId="77777777" w:rsidR="00C8152E" w:rsidRPr="009C357F" w:rsidRDefault="00C8152E" w:rsidP="007D7828">
            <w:pPr>
              <w:pStyle w:val="Initiativefigures"/>
            </w:pPr>
            <w:r w:rsidRPr="009C357F">
              <w:t>TBC</w:t>
            </w:r>
          </w:p>
        </w:tc>
        <w:tc>
          <w:tcPr>
            <w:tcW w:w="1301" w:type="dxa"/>
            <w:tcBorders>
              <w:bottom w:val="single" w:sz="4" w:space="0" w:color="auto"/>
            </w:tcBorders>
          </w:tcPr>
          <w:p w14:paraId="1F69605D" w14:textId="048FF659" w:rsidR="00C8152E" w:rsidRPr="009C357F" w:rsidRDefault="00993334" w:rsidP="007D7828">
            <w:pPr>
              <w:pStyle w:val="Initiativefigures"/>
            </w:pPr>
            <w:r>
              <w:t>0</w:t>
            </w:r>
          </w:p>
        </w:tc>
        <w:tc>
          <w:tcPr>
            <w:tcW w:w="1301" w:type="dxa"/>
            <w:tcBorders>
              <w:bottom w:val="single" w:sz="4" w:space="0" w:color="auto"/>
            </w:tcBorders>
          </w:tcPr>
          <w:p w14:paraId="28A2A462" w14:textId="369D98E4" w:rsidR="00C8152E" w:rsidRPr="009C357F" w:rsidRDefault="00993334" w:rsidP="007D7828">
            <w:pPr>
              <w:pStyle w:val="Initiativefigures"/>
            </w:pPr>
            <w:r>
              <w:t>0</w:t>
            </w:r>
          </w:p>
        </w:tc>
        <w:tc>
          <w:tcPr>
            <w:tcW w:w="1302" w:type="dxa"/>
            <w:tcBorders>
              <w:bottom w:val="single" w:sz="4" w:space="0" w:color="auto"/>
            </w:tcBorders>
          </w:tcPr>
          <w:p w14:paraId="0288F9DB" w14:textId="77777777" w:rsidR="00C8152E" w:rsidRPr="007F153E" w:rsidRDefault="00C8152E" w:rsidP="007D7828">
            <w:pPr>
              <w:pStyle w:val="Initiativefigures"/>
              <w:rPr>
                <w:b/>
                <w:bCs/>
              </w:rPr>
            </w:pPr>
            <w:r w:rsidRPr="007F153E">
              <w:rPr>
                <w:b/>
                <w:bCs/>
              </w:rPr>
              <w:t>126,000</w:t>
            </w:r>
          </w:p>
        </w:tc>
      </w:tr>
    </w:tbl>
    <w:p w14:paraId="1DE19D89" w14:textId="56FF40DD" w:rsidR="00C8152E" w:rsidRPr="00973AF7" w:rsidRDefault="00C8152E" w:rsidP="00C8152E">
      <w:pPr>
        <w:pStyle w:val="Bbodytext"/>
      </w:pPr>
      <w:r w:rsidRPr="00973AF7">
        <w:t>The Government has provided an additional $126 million</w:t>
      </w:r>
      <w:r w:rsidR="00993334">
        <w:t xml:space="preserve"> </w:t>
      </w:r>
      <w:r w:rsidRPr="00973AF7">
        <w:t>to combat COVID-19</w:t>
      </w:r>
      <w:r w:rsidR="00473880">
        <w:t xml:space="preserve">.  </w:t>
      </w:r>
    </w:p>
    <w:p w14:paraId="73655D7E" w14:textId="77777777" w:rsidR="00C8152E" w:rsidRPr="00973AF7" w:rsidRDefault="00C8152E" w:rsidP="00C8152E">
      <w:pPr>
        <w:pStyle w:val="Bbodytext"/>
      </w:pPr>
      <w:r w:rsidRPr="00973AF7">
        <w:t>This additional funding is for:</w:t>
      </w:r>
    </w:p>
    <w:p w14:paraId="12C0AAFB" w14:textId="77777777" w:rsidR="00C8152E" w:rsidRPr="00973AF7" w:rsidRDefault="00C8152E" w:rsidP="00C8152E">
      <w:pPr>
        <w:pStyle w:val="BBullet1"/>
      </w:pPr>
      <w:r w:rsidRPr="00973AF7">
        <w:t>Health facility infrastructure, including additional emergency department surge capacity of up to 50 beds, flexing the bed base in Canberra Health Services by an additional 131 beds, and supporting Calvary Hospital to deliver dedicated COVID-19 wards and expanded ICU capacity</w:t>
      </w:r>
    </w:p>
    <w:p w14:paraId="046C0A92" w14:textId="77777777" w:rsidR="00C8152E" w:rsidRPr="00973AF7" w:rsidRDefault="00C8152E" w:rsidP="00C8152E">
      <w:pPr>
        <w:pStyle w:val="BBullet1"/>
        <w:rPr>
          <w:rFonts w:eastAsia="Times New Roman"/>
          <w:szCs w:val="24"/>
        </w:rPr>
      </w:pPr>
      <w:r w:rsidRPr="00973AF7">
        <w:rPr>
          <w:rFonts w:eastAsia="Times New Roman"/>
          <w:szCs w:val="24"/>
        </w:rPr>
        <w:t>Personal protective equipment</w:t>
      </w:r>
    </w:p>
    <w:p w14:paraId="3FDE3D09" w14:textId="77777777" w:rsidR="00C8152E" w:rsidRPr="00973AF7" w:rsidRDefault="00C8152E" w:rsidP="00C8152E">
      <w:pPr>
        <w:pStyle w:val="BBullet1"/>
        <w:rPr>
          <w:rFonts w:eastAsia="Times New Roman"/>
          <w:szCs w:val="24"/>
        </w:rPr>
      </w:pPr>
      <w:r w:rsidRPr="00973AF7">
        <w:rPr>
          <w:rFonts w:eastAsia="Times New Roman"/>
          <w:szCs w:val="24"/>
        </w:rPr>
        <w:t>Establishment of respiratory clinics and additional equipment</w:t>
      </w:r>
    </w:p>
    <w:p w14:paraId="4BD84C60" w14:textId="77777777" w:rsidR="00C8152E" w:rsidRPr="00973AF7" w:rsidRDefault="00C8152E" w:rsidP="00C8152E">
      <w:pPr>
        <w:pStyle w:val="BBullet1"/>
        <w:rPr>
          <w:rFonts w:eastAsia="Times New Roman"/>
          <w:szCs w:val="24"/>
        </w:rPr>
      </w:pPr>
      <w:r w:rsidRPr="00973AF7">
        <w:rPr>
          <w:rFonts w:eastAsia="Times New Roman"/>
          <w:szCs w:val="24"/>
        </w:rPr>
        <w:t>The Emergency operations centre</w:t>
      </w:r>
    </w:p>
    <w:p w14:paraId="43F6CB01" w14:textId="0962D479" w:rsidR="00C8152E" w:rsidRDefault="00C8152E" w:rsidP="00C8152E">
      <w:pPr>
        <w:pStyle w:val="BBullet1"/>
        <w:rPr>
          <w:rFonts w:eastAsia="Times New Roman"/>
          <w:szCs w:val="24"/>
        </w:rPr>
      </w:pPr>
      <w:r w:rsidRPr="00973AF7">
        <w:rPr>
          <w:rFonts w:eastAsia="Times New Roman"/>
          <w:szCs w:val="24"/>
        </w:rPr>
        <w:t>Enhanced operational capacity for public health services including contact tracing and COVID-19 testing</w:t>
      </w:r>
    </w:p>
    <w:p w14:paraId="7E03191F" w14:textId="6486C020" w:rsidR="00C8152E" w:rsidRDefault="00C8152E" w:rsidP="0009170B">
      <w:pPr>
        <w:pStyle w:val="Bbodytext"/>
      </w:pPr>
      <w:r w:rsidRPr="00973AF7">
        <w:t>This cost will be shared between the Commonwealth and the ACT under the National Partnership on COVID-19 Response</w:t>
      </w:r>
      <w:r w:rsidR="00473880">
        <w:t xml:space="preserve">. </w:t>
      </w:r>
    </w:p>
    <w:p w14:paraId="7F4DE9B7" w14:textId="54347401" w:rsidR="00C8152E" w:rsidRPr="00973AF7" w:rsidRDefault="00C8152E" w:rsidP="003140C0">
      <w:pPr>
        <w:pStyle w:val="Heading3"/>
      </w:pPr>
      <w:r w:rsidRPr="00973AF7">
        <w:t xml:space="preserve">Public Housing </w:t>
      </w:r>
      <w:r w:rsidR="007F153E">
        <w:t>–</w:t>
      </w:r>
      <w:r w:rsidRPr="00973AF7">
        <w:t xml:space="preserve"> $250 rent rebate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C8152E" w:rsidRPr="00973AF7" w14:paraId="316729C7" w14:textId="77777777" w:rsidTr="007D7828">
        <w:tc>
          <w:tcPr>
            <w:tcW w:w="2510" w:type="dxa"/>
            <w:tcBorders>
              <w:bottom w:val="single" w:sz="4" w:space="0" w:color="auto"/>
            </w:tcBorders>
          </w:tcPr>
          <w:p w14:paraId="6B0C10EE" w14:textId="77777777" w:rsidR="00C8152E" w:rsidRPr="00973AF7" w:rsidRDefault="00C8152E" w:rsidP="003140C0">
            <w:pPr>
              <w:pStyle w:val="Initiativefigures"/>
              <w:keepNext/>
              <w:keepLines/>
            </w:pPr>
          </w:p>
        </w:tc>
        <w:tc>
          <w:tcPr>
            <w:tcW w:w="1301" w:type="dxa"/>
            <w:tcBorders>
              <w:bottom w:val="single" w:sz="4" w:space="0" w:color="auto"/>
            </w:tcBorders>
          </w:tcPr>
          <w:p w14:paraId="48F2799D" w14:textId="77777777" w:rsidR="00C8152E" w:rsidRPr="00973AF7" w:rsidRDefault="00C8152E" w:rsidP="003140C0">
            <w:pPr>
              <w:pStyle w:val="Initiativefigures"/>
              <w:keepNext/>
              <w:keepLines/>
            </w:pPr>
            <w:r w:rsidRPr="00973AF7">
              <w:t>2019-20</w:t>
            </w:r>
          </w:p>
          <w:p w14:paraId="19305F51" w14:textId="77777777" w:rsidR="00C8152E" w:rsidRPr="00973AF7" w:rsidRDefault="00C8152E" w:rsidP="003140C0">
            <w:pPr>
              <w:pStyle w:val="Initiativefigures"/>
              <w:keepNext/>
              <w:keepLines/>
            </w:pPr>
            <w:r w:rsidRPr="00973AF7">
              <w:t>$’000</w:t>
            </w:r>
          </w:p>
        </w:tc>
        <w:tc>
          <w:tcPr>
            <w:tcW w:w="1301" w:type="dxa"/>
            <w:tcBorders>
              <w:bottom w:val="single" w:sz="4" w:space="0" w:color="auto"/>
            </w:tcBorders>
          </w:tcPr>
          <w:p w14:paraId="6FC573C0" w14:textId="77777777" w:rsidR="00C8152E" w:rsidRPr="00973AF7" w:rsidRDefault="00C8152E" w:rsidP="003140C0">
            <w:pPr>
              <w:pStyle w:val="Initiativefigures"/>
              <w:keepNext/>
              <w:keepLines/>
            </w:pPr>
            <w:r w:rsidRPr="00973AF7">
              <w:t>2020-21</w:t>
            </w:r>
          </w:p>
          <w:p w14:paraId="04F677FA" w14:textId="77777777" w:rsidR="00C8152E" w:rsidRPr="00973AF7" w:rsidRDefault="00C8152E" w:rsidP="003140C0">
            <w:pPr>
              <w:pStyle w:val="Initiativefigures"/>
              <w:keepNext/>
              <w:keepLines/>
            </w:pPr>
            <w:r w:rsidRPr="00973AF7">
              <w:t>$’000</w:t>
            </w:r>
          </w:p>
        </w:tc>
        <w:tc>
          <w:tcPr>
            <w:tcW w:w="1301" w:type="dxa"/>
            <w:tcBorders>
              <w:bottom w:val="single" w:sz="4" w:space="0" w:color="auto"/>
            </w:tcBorders>
          </w:tcPr>
          <w:p w14:paraId="7E656298" w14:textId="77777777" w:rsidR="00C8152E" w:rsidRPr="00973AF7" w:rsidRDefault="00C8152E" w:rsidP="003140C0">
            <w:pPr>
              <w:pStyle w:val="Initiativefigures"/>
              <w:keepNext/>
              <w:keepLines/>
            </w:pPr>
            <w:r w:rsidRPr="00973AF7">
              <w:t>2021-22</w:t>
            </w:r>
          </w:p>
          <w:p w14:paraId="12846AF1" w14:textId="77777777" w:rsidR="00C8152E" w:rsidRPr="00973AF7" w:rsidRDefault="00C8152E" w:rsidP="003140C0">
            <w:pPr>
              <w:pStyle w:val="Initiativefigures"/>
              <w:keepNext/>
              <w:keepLines/>
            </w:pPr>
            <w:r w:rsidRPr="00973AF7">
              <w:t>$’000</w:t>
            </w:r>
          </w:p>
        </w:tc>
        <w:tc>
          <w:tcPr>
            <w:tcW w:w="1301" w:type="dxa"/>
            <w:tcBorders>
              <w:bottom w:val="single" w:sz="4" w:space="0" w:color="auto"/>
            </w:tcBorders>
          </w:tcPr>
          <w:p w14:paraId="7D074DA1" w14:textId="77777777" w:rsidR="00C8152E" w:rsidRPr="00973AF7" w:rsidRDefault="00C8152E" w:rsidP="003140C0">
            <w:pPr>
              <w:pStyle w:val="Initiativefigures"/>
              <w:keepNext/>
              <w:keepLines/>
            </w:pPr>
            <w:r w:rsidRPr="00973AF7">
              <w:t>2022-23</w:t>
            </w:r>
          </w:p>
          <w:p w14:paraId="1C3A0E87" w14:textId="77777777" w:rsidR="00C8152E" w:rsidRPr="00973AF7" w:rsidRDefault="00C8152E" w:rsidP="003140C0">
            <w:pPr>
              <w:pStyle w:val="Initiativefigures"/>
              <w:keepNext/>
              <w:keepLines/>
            </w:pPr>
            <w:r w:rsidRPr="00973AF7">
              <w:t>$’000</w:t>
            </w:r>
          </w:p>
        </w:tc>
        <w:tc>
          <w:tcPr>
            <w:tcW w:w="1302" w:type="dxa"/>
            <w:tcBorders>
              <w:bottom w:val="single" w:sz="4" w:space="0" w:color="auto"/>
            </w:tcBorders>
          </w:tcPr>
          <w:p w14:paraId="7A4C2064" w14:textId="77777777" w:rsidR="00C8152E" w:rsidRPr="00973AF7" w:rsidRDefault="00C8152E" w:rsidP="003140C0">
            <w:pPr>
              <w:pStyle w:val="Initiativefigures"/>
              <w:keepNext/>
              <w:keepLines/>
              <w:rPr>
                <w:b/>
                <w:bCs/>
              </w:rPr>
            </w:pPr>
            <w:r w:rsidRPr="00973AF7">
              <w:rPr>
                <w:b/>
                <w:bCs/>
              </w:rPr>
              <w:t xml:space="preserve">Total </w:t>
            </w:r>
          </w:p>
          <w:p w14:paraId="558383E1" w14:textId="77777777" w:rsidR="00C8152E" w:rsidRPr="00973AF7" w:rsidRDefault="00C8152E" w:rsidP="003140C0">
            <w:pPr>
              <w:pStyle w:val="Initiativefigures"/>
              <w:keepNext/>
              <w:keepLines/>
              <w:rPr>
                <w:b/>
                <w:bCs/>
              </w:rPr>
            </w:pPr>
            <w:r w:rsidRPr="00973AF7">
              <w:rPr>
                <w:b/>
                <w:bCs/>
              </w:rPr>
              <w:t>$’000</w:t>
            </w:r>
          </w:p>
        </w:tc>
      </w:tr>
      <w:tr w:rsidR="00C8152E" w:rsidRPr="00973AF7" w14:paraId="5A2D6635" w14:textId="77777777" w:rsidTr="007D7828">
        <w:tc>
          <w:tcPr>
            <w:tcW w:w="2510" w:type="dxa"/>
            <w:tcBorders>
              <w:bottom w:val="single" w:sz="4" w:space="0" w:color="auto"/>
            </w:tcBorders>
          </w:tcPr>
          <w:p w14:paraId="5DBA855E" w14:textId="77777777" w:rsidR="00C8152E" w:rsidRPr="00973AF7" w:rsidRDefault="00C8152E" w:rsidP="003140C0">
            <w:pPr>
              <w:pStyle w:val="Initiativetext"/>
              <w:keepNext/>
              <w:keepLines/>
            </w:pPr>
            <w:r w:rsidRPr="00973AF7">
              <w:t>Expense</w:t>
            </w:r>
          </w:p>
        </w:tc>
        <w:tc>
          <w:tcPr>
            <w:tcW w:w="1301" w:type="dxa"/>
            <w:tcBorders>
              <w:bottom w:val="single" w:sz="4" w:space="0" w:color="auto"/>
            </w:tcBorders>
          </w:tcPr>
          <w:p w14:paraId="579B4B54" w14:textId="77777777" w:rsidR="00C8152E" w:rsidRPr="00973AF7" w:rsidRDefault="00C8152E" w:rsidP="003140C0">
            <w:pPr>
              <w:pStyle w:val="Initiativefigures"/>
              <w:keepNext/>
              <w:keepLines/>
            </w:pPr>
            <w:r w:rsidRPr="00973AF7">
              <w:t>3,000</w:t>
            </w:r>
          </w:p>
        </w:tc>
        <w:tc>
          <w:tcPr>
            <w:tcW w:w="1301" w:type="dxa"/>
            <w:tcBorders>
              <w:bottom w:val="single" w:sz="4" w:space="0" w:color="auto"/>
            </w:tcBorders>
          </w:tcPr>
          <w:p w14:paraId="7BA5A9BB" w14:textId="77777777" w:rsidR="00C8152E" w:rsidRPr="00973AF7" w:rsidRDefault="00C8152E" w:rsidP="003140C0">
            <w:pPr>
              <w:pStyle w:val="Initiativefigures"/>
              <w:keepNext/>
              <w:keepLines/>
            </w:pPr>
            <w:r w:rsidRPr="00973AF7">
              <w:t>0</w:t>
            </w:r>
          </w:p>
        </w:tc>
        <w:tc>
          <w:tcPr>
            <w:tcW w:w="1301" w:type="dxa"/>
            <w:tcBorders>
              <w:bottom w:val="single" w:sz="4" w:space="0" w:color="auto"/>
            </w:tcBorders>
          </w:tcPr>
          <w:p w14:paraId="1D6D716F" w14:textId="77777777" w:rsidR="00C8152E" w:rsidRPr="00973AF7" w:rsidRDefault="00C8152E" w:rsidP="003140C0">
            <w:pPr>
              <w:pStyle w:val="Initiativefigures"/>
              <w:keepNext/>
              <w:keepLines/>
            </w:pPr>
            <w:r w:rsidRPr="00973AF7">
              <w:t>0</w:t>
            </w:r>
          </w:p>
        </w:tc>
        <w:tc>
          <w:tcPr>
            <w:tcW w:w="1301" w:type="dxa"/>
            <w:tcBorders>
              <w:bottom w:val="single" w:sz="4" w:space="0" w:color="auto"/>
            </w:tcBorders>
          </w:tcPr>
          <w:p w14:paraId="0AA5649A" w14:textId="77777777" w:rsidR="00C8152E" w:rsidRPr="00973AF7" w:rsidRDefault="00C8152E" w:rsidP="003140C0">
            <w:pPr>
              <w:pStyle w:val="Initiativefigures"/>
              <w:keepNext/>
              <w:keepLines/>
            </w:pPr>
            <w:r w:rsidRPr="00973AF7">
              <w:t>0</w:t>
            </w:r>
          </w:p>
        </w:tc>
        <w:tc>
          <w:tcPr>
            <w:tcW w:w="1302" w:type="dxa"/>
            <w:tcBorders>
              <w:bottom w:val="single" w:sz="4" w:space="0" w:color="auto"/>
            </w:tcBorders>
          </w:tcPr>
          <w:p w14:paraId="0611210B" w14:textId="77777777" w:rsidR="00C8152E" w:rsidRPr="00973AF7" w:rsidRDefault="00C8152E" w:rsidP="003140C0">
            <w:pPr>
              <w:pStyle w:val="Initiativefigures"/>
              <w:keepNext/>
              <w:keepLines/>
              <w:rPr>
                <w:b/>
                <w:bCs/>
              </w:rPr>
            </w:pPr>
            <w:r w:rsidRPr="00973AF7">
              <w:rPr>
                <w:b/>
                <w:bCs/>
              </w:rPr>
              <w:t>3,000</w:t>
            </w:r>
          </w:p>
        </w:tc>
      </w:tr>
    </w:tbl>
    <w:p w14:paraId="1AB6D679" w14:textId="5EA1684D" w:rsidR="00C8152E" w:rsidRPr="00973AF7" w:rsidRDefault="00C8152E" w:rsidP="003140C0">
      <w:pPr>
        <w:pStyle w:val="Bbodytext"/>
        <w:keepNext/>
        <w:keepLines/>
      </w:pPr>
      <w:r w:rsidRPr="00973AF7">
        <w:t xml:space="preserve">The Government will make a payment of $250 to </w:t>
      </w:r>
      <w:r w:rsidRPr="006430BC">
        <w:t xml:space="preserve">all </w:t>
      </w:r>
      <w:r w:rsidR="00A72A37" w:rsidRPr="006430BC">
        <w:t xml:space="preserve">11,700 </w:t>
      </w:r>
      <w:r w:rsidRPr="006430BC">
        <w:t>social</w:t>
      </w:r>
      <w:r w:rsidRPr="00973AF7">
        <w:t xml:space="preserve"> housing households by 30 June 2020</w:t>
      </w:r>
      <w:r w:rsidR="00473880">
        <w:t xml:space="preserve">. </w:t>
      </w:r>
      <w:r w:rsidRPr="00973AF7">
        <w:t>This includes both public housing and community housing households that pay rent based on their income</w:t>
      </w:r>
      <w:r w:rsidR="00473880">
        <w:t xml:space="preserve">. </w:t>
      </w:r>
      <w:r w:rsidRPr="00973AF7">
        <w:t>This payment is to relieve the financial pressure that may be felt by those most vulnerable in our community during this time</w:t>
      </w:r>
      <w:r w:rsidR="00473880">
        <w:t xml:space="preserve">.  </w:t>
      </w:r>
    </w:p>
    <w:p w14:paraId="3F5202A3" w14:textId="78CEB162" w:rsidR="007F722C" w:rsidRPr="00A72A37" w:rsidRDefault="00A72A37" w:rsidP="00973AF7">
      <w:pPr>
        <w:pStyle w:val="Bbodytext"/>
      </w:pPr>
      <w:r w:rsidRPr="00A72A37">
        <w:t xml:space="preserve">As of June 19, </w:t>
      </w:r>
      <w:r w:rsidR="0009170B">
        <w:t>8,601</w:t>
      </w:r>
      <w:r w:rsidRPr="00A72A37">
        <w:t xml:space="preserve"> households have received the payment</w:t>
      </w:r>
      <w:r w:rsidR="00473880">
        <w:t xml:space="preserve">.  </w:t>
      </w:r>
    </w:p>
    <w:p w14:paraId="641020C9" w14:textId="5CB5336D" w:rsidR="00E523B7" w:rsidRPr="00973AF7" w:rsidRDefault="00CB69CF" w:rsidP="00973AF7">
      <w:pPr>
        <w:pStyle w:val="Heading3"/>
      </w:pPr>
      <w:bookmarkStart w:id="10" w:name="_Hlk43365001"/>
      <w:bookmarkStart w:id="11" w:name="_Hlk43372232"/>
      <w:r w:rsidRPr="00973AF7">
        <w:lastRenderedPageBreak/>
        <w:t>Waiver of fees for Early Childhood Education and Care service providers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510"/>
        <w:gridCol w:w="1301"/>
        <w:gridCol w:w="1301"/>
        <w:gridCol w:w="1301"/>
        <w:gridCol w:w="1301"/>
        <w:gridCol w:w="1302"/>
      </w:tblGrid>
      <w:tr w:rsidR="00E523B7" w:rsidRPr="00973AF7" w14:paraId="10BBE4FC" w14:textId="77777777" w:rsidTr="00973AF7">
        <w:tc>
          <w:tcPr>
            <w:tcW w:w="2510" w:type="dxa"/>
            <w:tcBorders>
              <w:bottom w:val="single" w:sz="4" w:space="0" w:color="auto"/>
            </w:tcBorders>
          </w:tcPr>
          <w:p w14:paraId="59C6A765" w14:textId="77777777" w:rsidR="00E523B7" w:rsidRPr="00973AF7" w:rsidRDefault="00E523B7" w:rsidP="00973AF7">
            <w:pPr>
              <w:pStyle w:val="Initiativefigures"/>
              <w:keepNext/>
              <w:keepLines/>
            </w:pPr>
          </w:p>
        </w:tc>
        <w:tc>
          <w:tcPr>
            <w:tcW w:w="1301" w:type="dxa"/>
            <w:tcBorders>
              <w:bottom w:val="single" w:sz="4" w:space="0" w:color="auto"/>
            </w:tcBorders>
          </w:tcPr>
          <w:p w14:paraId="3510A881" w14:textId="77777777" w:rsidR="00E523B7" w:rsidRPr="00973AF7" w:rsidRDefault="00E523B7" w:rsidP="00973AF7">
            <w:pPr>
              <w:pStyle w:val="Initiativefigures"/>
              <w:keepNext/>
              <w:keepLines/>
            </w:pPr>
            <w:r w:rsidRPr="00973AF7">
              <w:t>2019-20</w:t>
            </w:r>
          </w:p>
          <w:p w14:paraId="5B1D3C65" w14:textId="77777777" w:rsidR="00E523B7" w:rsidRPr="00973AF7" w:rsidRDefault="00E523B7" w:rsidP="00973AF7">
            <w:pPr>
              <w:pStyle w:val="Initiativefigures"/>
              <w:keepNext/>
              <w:keepLines/>
            </w:pPr>
            <w:r w:rsidRPr="00973AF7">
              <w:t>$’000</w:t>
            </w:r>
          </w:p>
        </w:tc>
        <w:tc>
          <w:tcPr>
            <w:tcW w:w="1301" w:type="dxa"/>
            <w:tcBorders>
              <w:bottom w:val="single" w:sz="4" w:space="0" w:color="auto"/>
            </w:tcBorders>
          </w:tcPr>
          <w:p w14:paraId="0BA2DF3D" w14:textId="77777777" w:rsidR="00E523B7" w:rsidRPr="00973AF7" w:rsidRDefault="00E523B7" w:rsidP="00973AF7">
            <w:pPr>
              <w:pStyle w:val="Initiativefigures"/>
              <w:keepNext/>
              <w:keepLines/>
            </w:pPr>
            <w:r w:rsidRPr="00973AF7">
              <w:t>2020-21</w:t>
            </w:r>
          </w:p>
          <w:p w14:paraId="025AD3E5" w14:textId="77777777" w:rsidR="00E523B7" w:rsidRPr="00973AF7" w:rsidRDefault="00E523B7" w:rsidP="00973AF7">
            <w:pPr>
              <w:pStyle w:val="Initiativefigures"/>
              <w:keepNext/>
              <w:keepLines/>
            </w:pPr>
            <w:r w:rsidRPr="00973AF7">
              <w:t>$’000</w:t>
            </w:r>
          </w:p>
        </w:tc>
        <w:tc>
          <w:tcPr>
            <w:tcW w:w="1301" w:type="dxa"/>
            <w:tcBorders>
              <w:bottom w:val="single" w:sz="4" w:space="0" w:color="auto"/>
            </w:tcBorders>
          </w:tcPr>
          <w:p w14:paraId="717FBC86" w14:textId="77777777" w:rsidR="00E523B7" w:rsidRPr="00973AF7" w:rsidRDefault="00E523B7" w:rsidP="00973AF7">
            <w:pPr>
              <w:pStyle w:val="Initiativefigures"/>
              <w:keepNext/>
              <w:keepLines/>
            </w:pPr>
            <w:r w:rsidRPr="00973AF7">
              <w:t>2021-22</w:t>
            </w:r>
          </w:p>
          <w:p w14:paraId="4C7053B2" w14:textId="77777777" w:rsidR="00E523B7" w:rsidRPr="00973AF7" w:rsidRDefault="00E523B7" w:rsidP="00973AF7">
            <w:pPr>
              <w:pStyle w:val="Initiativefigures"/>
              <w:keepNext/>
              <w:keepLines/>
            </w:pPr>
            <w:r w:rsidRPr="00973AF7">
              <w:t>$’000</w:t>
            </w:r>
          </w:p>
        </w:tc>
        <w:tc>
          <w:tcPr>
            <w:tcW w:w="1301" w:type="dxa"/>
            <w:tcBorders>
              <w:bottom w:val="single" w:sz="4" w:space="0" w:color="auto"/>
            </w:tcBorders>
          </w:tcPr>
          <w:p w14:paraId="0C47BD8B" w14:textId="77777777" w:rsidR="00E523B7" w:rsidRPr="00973AF7" w:rsidRDefault="00E523B7" w:rsidP="00973AF7">
            <w:pPr>
              <w:pStyle w:val="Initiativefigures"/>
              <w:keepNext/>
              <w:keepLines/>
            </w:pPr>
            <w:r w:rsidRPr="00973AF7">
              <w:t>2022-23</w:t>
            </w:r>
          </w:p>
          <w:p w14:paraId="373F23DC" w14:textId="77777777" w:rsidR="00E523B7" w:rsidRPr="00973AF7" w:rsidRDefault="00E523B7" w:rsidP="00973AF7">
            <w:pPr>
              <w:pStyle w:val="Initiativefigures"/>
              <w:keepNext/>
              <w:keepLines/>
            </w:pPr>
            <w:r w:rsidRPr="00973AF7">
              <w:t>$’000</w:t>
            </w:r>
          </w:p>
        </w:tc>
        <w:tc>
          <w:tcPr>
            <w:tcW w:w="1302" w:type="dxa"/>
            <w:tcBorders>
              <w:bottom w:val="single" w:sz="4" w:space="0" w:color="auto"/>
            </w:tcBorders>
          </w:tcPr>
          <w:p w14:paraId="0C4F88C4" w14:textId="77777777" w:rsidR="00E523B7" w:rsidRPr="00973AF7" w:rsidRDefault="00E523B7" w:rsidP="00973AF7">
            <w:pPr>
              <w:pStyle w:val="Initiativefigures"/>
              <w:keepNext/>
              <w:keepLines/>
              <w:rPr>
                <w:b/>
                <w:bCs/>
              </w:rPr>
            </w:pPr>
            <w:r w:rsidRPr="00973AF7">
              <w:rPr>
                <w:b/>
                <w:bCs/>
              </w:rPr>
              <w:t xml:space="preserve">Total </w:t>
            </w:r>
          </w:p>
          <w:p w14:paraId="623E7283" w14:textId="77777777" w:rsidR="00E523B7" w:rsidRPr="00973AF7" w:rsidRDefault="00E523B7" w:rsidP="00973AF7">
            <w:pPr>
              <w:pStyle w:val="Initiativefigures"/>
              <w:keepNext/>
              <w:keepLines/>
              <w:rPr>
                <w:b/>
                <w:bCs/>
              </w:rPr>
            </w:pPr>
            <w:r w:rsidRPr="00973AF7">
              <w:rPr>
                <w:b/>
                <w:bCs/>
              </w:rPr>
              <w:t>$’000</w:t>
            </w:r>
          </w:p>
        </w:tc>
      </w:tr>
      <w:tr w:rsidR="00E523B7" w:rsidRPr="00973AF7" w14:paraId="4E674409" w14:textId="77777777" w:rsidTr="00973AF7">
        <w:tc>
          <w:tcPr>
            <w:tcW w:w="2510" w:type="dxa"/>
            <w:tcBorders>
              <w:bottom w:val="single" w:sz="4" w:space="0" w:color="auto"/>
            </w:tcBorders>
          </w:tcPr>
          <w:p w14:paraId="134C3F69" w14:textId="02B487BF" w:rsidR="00E523B7" w:rsidRPr="00973AF7" w:rsidRDefault="00CB69CF" w:rsidP="00973AF7">
            <w:pPr>
              <w:pStyle w:val="Initiativetext"/>
              <w:keepNext/>
              <w:keepLines/>
            </w:pPr>
            <w:r w:rsidRPr="00973AF7">
              <w:t>Revenue forgone</w:t>
            </w:r>
          </w:p>
        </w:tc>
        <w:tc>
          <w:tcPr>
            <w:tcW w:w="1301" w:type="dxa"/>
            <w:tcBorders>
              <w:bottom w:val="single" w:sz="4" w:space="0" w:color="auto"/>
            </w:tcBorders>
          </w:tcPr>
          <w:p w14:paraId="6F296AE5" w14:textId="4121CC44" w:rsidR="00E523B7" w:rsidRPr="00973AF7" w:rsidRDefault="00E523B7" w:rsidP="00973AF7">
            <w:pPr>
              <w:pStyle w:val="Initiativefigures"/>
              <w:keepNext/>
              <w:keepLines/>
            </w:pPr>
            <w:r w:rsidRPr="00973AF7">
              <w:t>130</w:t>
            </w:r>
          </w:p>
        </w:tc>
        <w:tc>
          <w:tcPr>
            <w:tcW w:w="1301" w:type="dxa"/>
            <w:tcBorders>
              <w:bottom w:val="single" w:sz="4" w:space="0" w:color="auto"/>
            </w:tcBorders>
          </w:tcPr>
          <w:p w14:paraId="22F6C589" w14:textId="0E3B7A3A" w:rsidR="00E523B7" w:rsidRPr="00973AF7" w:rsidRDefault="00E523B7" w:rsidP="00973AF7">
            <w:pPr>
              <w:pStyle w:val="Initiativefigures"/>
              <w:keepNext/>
              <w:keepLines/>
            </w:pPr>
            <w:r w:rsidRPr="00973AF7">
              <w:t>0</w:t>
            </w:r>
          </w:p>
        </w:tc>
        <w:tc>
          <w:tcPr>
            <w:tcW w:w="1301" w:type="dxa"/>
            <w:tcBorders>
              <w:bottom w:val="single" w:sz="4" w:space="0" w:color="auto"/>
            </w:tcBorders>
          </w:tcPr>
          <w:p w14:paraId="7004D370" w14:textId="1ACCCD7A" w:rsidR="00E523B7" w:rsidRPr="00973AF7" w:rsidRDefault="00E523B7" w:rsidP="00973AF7">
            <w:pPr>
              <w:pStyle w:val="Initiativefigures"/>
              <w:keepNext/>
              <w:keepLines/>
            </w:pPr>
            <w:r w:rsidRPr="00973AF7">
              <w:t>0</w:t>
            </w:r>
          </w:p>
        </w:tc>
        <w:tc>
          <w:tcPr>
            <w:tcW w:w="1301" w:type="dxa"/>
            <w:tcBorders>
              <w:bottom w:val="single" w:sz="4" w:space="0" w:color="auto"/>
            </w:tcBorders>
          </w:tcPr>
          <w:p w14:paraId="04305226" w14:textId="3DF382F5" w:rsidR="00E523B7" w:rsidRPr="00973AF7" w:rsidRDefault="00E523B7" w:rsidP="00973AF7">
            <w:pPr>
              <w:pStyle w:val="Initiativefigures"/>
              <w:keepNext/>
              <w:keepLines/>
            </w:pPr>
            <w:r w:rsidRPr="00973AF7">
              <w:t>0</w:t>
            </w:r>
          </w:p>
        </w:tc>
        <w:tc>
          <w:tcPr>
            <w:tcW w:w="1302" w:type="dxa"/>
            <w:tcBorders>
              <w:bottom w:val="single" w:sz="4" w:space="0" w:color="auto"/>
            </w:tcBorders>
          </w:tcPr>
          <w:p w14:paraId="4CCC22FE" w14:textId="48A630BB" w:rsidR="00E523B7" w:rsidRPr="00973AF7" w:rsidRDefault="00E523B7" w:rsidP="00973AF7">
            <w:pPr>
              <w:pStyle w:val="Initiativefigures"/>
              <w:keepNext/>
              <w:keepLines/>
              <w:rPr>
                <w:b/>
                <w:bCs/>
              </w:rPr>
            </w:pPr>
            <w:r w:rsidRPr="00973AF7">
              <w:rPr>
                <w:b/>
                <w:bCs/>
              </w:rPr>
              <w:t>130</w:t>
            </w:r>
          </w:p>
        </w:tc>
      </w:tr>
    </w:tbl>
    <w:p w14:paraId="14EF5196" w14:textId="4A6B5875" w:rsidR="00590359" w:rsidRDefault="00821CA5" w:rsidP="007F153E">
      <w:pPr>
        <w:pStyle w:val="Bbodytext"/>
        <w:keepNext/>
        <w:keepLines/>
        <w:rPr>
          <w:b/>
          <w:bCs/>
        </w:rPr>
      </w:pPr>
      <w:r w:rsidRPr="00973AF7">
        <w:rPr>
          <w:color w:val="000000"/>
        </w:rPr>
        <w:t>The Government will waive fees ordinarily payable by approved early childhood education and care service providers during the 2020 calendar year under the Education and Care Services National Law</w:t>
      </w:r>
      <w:r w:rsidR="00473880">
        <w:rPr>
          <w:color w:val="000000"/>
        </w:rPr>
        <w:t xml:space="preserve">. </w:t>
      </w:r>
      <w:r w:rsidRPr="00973AF7">
        <w:rPr>
          <w:color w:val="000000"/>
        </w:rPr>
        <w:t>The Education Directorate will also refund any fees already paid for 2020</w:t>
      </w:r>
      <w:r w:rsidR="00473880">
        <w:rPr>
          <w:color w:val="000000"/>
        </w:rPr>
        <w:t xml:space="preserve">. </w:t>
      </w:r>
      <w:bookmarkEnd w:id="10"/>
    </w:p>
    <w:bookmarkEnd w:id="11"/>
    <w:p w14:paraId="3D4CBCAF" w14:textId="26AE16D8" w:rsidR="00FE382F" w:rsidRPr="00282B20" w:rsidRDefault="00FE382F" w:rsidP="00973AF7">
      <w:pPr>
        <w:pStyle w:val="Bbodytext"/>
        <w:keepNext/>
        <w:keepLines/>
        <w:spacing w:before="360" w:after="200"/>
        <w:outlineLvl w:val="2"/>
      </w:pPr>
    </w:p>
    <w:sectPr w:rsidR="00FE382F" w:rsidRPr="00282B20" w:rsidSect="00206479">
      <w:footerReference w:type="default" r:id="rId21"/>
      <w:pgSz w:w="11906" w:h="16838" w:code="9"/>
      <w:pgMar w:top="1151" w:right="1440" w:bottom="1729"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C573F" w14:textId="77777777" w:rsidR="00FF530B" w:rsidRDefault="00FF530B" w:rsidP="00C339EF">
      <w:pPr>
        <w:spacing w:after="0" w:line="240" w:lineRule="auto"/>
      </w:pPr>
      <w:r>
        <w:separator/>
      </w:r>
    </w:p>
  </w:endnote>
  <w:endnote w:type="continuationSeparator" w:id="0">
    <w:p w14:paraId="11DE3A7D" w14:textId="77777777" w:rsidR="00FF530B" w:rsidRDefault="00FF530B" w:rsidP="00C33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4C436" w14:textId="636A5B2E" w:rsidR="00B85838" w:rsidRDefault="00B85838" w:rsidP="00206479">
    <w:pPr>
      <w:pStyle w:val="BFooter"/>
    </w:pPr>
    <w:r>
      <w:t xml:space="preserve">JUNE 2020 – ACT TREASURER’S UDPATE </w:t>
    </w:r>
    <w:r>
      <w:ptab w:relativeTo="margin" w:alignment="center" w:leader="none"/>
    </w:r>
    <w:r w:rsidRPr="0063450C">
      <w:fldChar w:fldCharType="begin"/>
    </w:r>
    <w:r w:rsidRPr="0063450C">
      <w:instrText xml:space="preserve"> PAGE   \* MERGEFORMAT </w:instrText>
    </w:r>
    <w:r w:rsidRPr="0063450C">
      <w:fldChar w:fldCharType="separate"/>
    </w:r>
    <w:r>
      <w:rPr>
        <w:noProof/>
      </w:rPr>
      <w:t>15</w:t>
    </w:r>
    <w:r w:rsidRPr="0063450C">
      <w:rPr>
        <w:noProof/>
      </w:rPr>
      <w:fldChar w:fldCharType="end"/>
    </w:r>
    <w:r>
      <w:ptab w:relativeTo="margin" w:alignment="right" w:leader="none"/>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BA07A" w14:textId="77777777" w:rsidR="00FF530B" w:rsidRDefault="00FF530B" w:rsidP="00C339EF">
      <w:pPr>
        <w:spacing w:after="0" w:line="240" w:lineRule="auto"/>
      </w:pPr>
      <w:r>
        <w:separator/>
      </w:r>
    </w:p>
  </w:footnote>
  <w:footnote w:type="continuationSeparator" w:id="0">
    <w:p w14:paraId="0FE113BF" w14:textId="77777777" w:rsidR="00FF530B" w:rsidRDefault="00FF530B" w:rsidP="00C33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6356"/>
    <w:multiLevelType w:val="hybridMultilevel"/>
    <w:tmpl w:val="4904B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E94A8D"/>
    <w:multiLevelType w:val="hybridMultilevel"/>
    <w:tmpl w:val="4F3AE898"/>
    <w:lvl w:ilvl="0" w:tplc="D14AC3EC">
      <w:start w:val="1"/>
      <w:numFmt w:val="bullet"/>
      <w:pStyle w:val="B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3B3421"/>
    <w:multiLevelType w:val="hybridMultilevel"/>
    <w:tmpl w:val="095ED1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D76529"/>
    <w:multiLevelType w:val="hybridMultilevel"/>
    <w:tmpl w:val="5CDE3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AA40E2"/>
    <w:multiLevelType w:val="hybridMultilevel"/>
    <w:tmpl w:val="45DEA5AC"/>
    <w:lvl w:ilvl="0" w:tplc="A4DC1A82">
      <w:numFmt w:val="bullet"/>
      <w:lvlText w:val=""/>
      <w:lvlJc w:val="left"/>
      <w:pPr>
        <w:ind w:left="720" w:hanging="360"/>
      </w:pPr>
      <w:rPr>
        <w:rFonts w:ascii="Symbol" w:eastAsia="Arial"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2DC17DC"/>
    <w:multiLevelType w:val="hybridMultilevel"/>
    <w:tmpl w:val="17880B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479778E"/>
    <w:multiLevelType w:val="hybridMultilevel"/>
    <w:tmpl w:val="A31E5F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A04F99"/>
    <w:multiLevelType w:val="hybridMultilevel"/>
    <w:tmpl w:val="70A4A2AE"/>
    <w:lvl w:ilvl="0" w:tplc="4AE0D874">
      <w:start w:val="1"/>
      <w:numFmt w:val="decimal"/>
      <w:lvlText w:val="%1."/>
      <w:lvlJc w:val="left"/>
      <w:pPr>
        <w:ind w:left="76" w:hanging="360"/>
      </w:pPr>
      <w:rPr>
        <w:rFonts w:hint="default"/>
      </w:rPr>
    </w:lvl>
    <w:lvl w:ilvl="1" w:tplc="0C090019" w:tentative="1">
      <w:start w:val="1"/>
      <w:numFmt w:val="lowerLetter"/>
      <w:lvlText w:val="%2."/>
      <w:lvlJc w:val="left"/>
      <w:pPr>
        <w:ind w:left="796" w:hanging="360"/>
      </w:pPr>
    </w:lvl>
    <w:lvl w:ilvl="2" w:tplc="0C09001B" w:tentative="1">
      <w:start w:val="1"/>
      <w:numFmt w:val="lowerRoman"/>
      <w:lvlText w:val="%3."/>
      <w:lvlJc w:val="right"/>
      <w:pPr>
        <w:ind w:left="1516" w:hanging="180"/>
      </w:pPr>
    </w:lvl>
    <w:lvl w:ilvl="3" w:tplc="0C09000F" w:tentative="1">
      <w:start w:val="1"/>
      <w:numFmt w:val="decimal"/>
      <w:lvlText w:val="%4."/>
      <w:lvlJc w:val="left"/>
      <w:pPr>
        <w:ind w:left="2236" w:hanging="360"/>
      </w:pPr>
    </w:lvl>
    <w:lvl w:ilvl="4" w:tplc="0C090019" w:tentative="1">
      <w:start w:val="1"/>
      <w:numFmt w:val="lowerLetter"/>
      <w:lvlText w:val="%5."/>
      <w:lvlJc w:val="left"/>
      <w:pPr>
        <w:ind w:left="2956" w:hanging="360"/>
      </w:pPr>
    </w:lvl>
    <w:lvl w:ilvl="5" w:tplc="0C09001B" w:tentative="1">
      <w:start w:val="1"/>
      <w:numFmt w:val="lowerRoman"/>
      <w:lvlText w:val="%6."/>
      <w:lvlJc w:val="right"/>
      <w:pPr>
        <w:ind w:left="3676" w:hanging="180"/>
      </w:pPr>
    </w:lvl>
    <w:lvl w:ilvl="6" w:tplc="0C09000F" w:tentative="1">
      <w:start w:val="1"/>
      <w:numFmt w:val="decimal"/>
      <w:lvlText w:val="%7."/>
      <w:lvlJc w:val="left"/>
      <w:pPr>
        <w:ind w:left="4396" w:hanging="360"/>
      </w:pPr>
    </w:lvl>
    <w:lvl w:ilvl="7" w:tplc="0C090019" w:tentative="1">
      <w:start w:val="1"/>
      <w:numFmt w:val="lowerLetter"/>
      <w:lvlText w:val="%8."/>
      <w:lvlJc w:val="left"/>
      <w:pPr>
        <w:ind w:left="5116" w:hanging="360"/>
      </w:pPr>
    </w:lvl>
    <w:lvl w:ilvl="8" w:tplc="0C09001B" w:tentative="1">
      <w:start w:val="1"/>
      <w:numFmt w:val="lowerRoman"/>
      <w:lvlText w:val="%9."/>
      <w:lvlJc w:val="right"/>
      <w:pPr>
        <w:ind w:left="5836" w:hanging="180"/>
      </w:pPr>
    </w:lvl>
  </w:abstractNum>
  <w:abstractNum w:abstractNumId="8" w15:restartNumberingAfterBreak="0">
    <w:nsid w:val="3CB06B4D"/>
    <w:multiLevelType w:val="hybridMultilevel"/>
    <w:tmpl w:val="76FAB26C"/>
    <w:lvl w:ilvl="0" w:tplc="8BA48D4E">
      <w:start w:val="1"/>
      <w:numFmt w:val="bullet"/>
      <w:pStyle w:val="BBullet2"/>
      <w:lvlText w:val="­"/>
      <w:lvlJc w:val="left"/>
      <w:pPr>
        <w:ind w:left="859" w:hanging="360"/>
      </w:pPr>
      <w:rPr>
        <w:rFonts w:ascii="Courier New" w:hAnsi="Courier New" w:hint="default"/>
      </w:rPr>
    </w:lvl>
    <w:lvl w:ilvl="1" w:tplc="0C090003" w:tentative="1">
      <w:start w:val="1"/>
      <w:numFmt w:val="bullet"/>
      <w:lvlText w:val="o"/>
      <w:lvlJc w:val="left"/>
      <w:pPr>
        <w:ind w:left="1579" w:hanging="360"/>
      </w:pPr>
      <w:rPr>
        <w:rFonts w:ascii="Courier New" w:hAnsi="Courier New" w:cs="Courier New" w:hint="default"/>
      </w:rPr>
    </w:lvl>
    <w:lvl w:ilvl="2" w:tplc="0C090005" w:tentative="1">
      <w:start w:val="1"/>
      <w:numFmt w:val="bullet"/>
      <w:lvlText w:val=""/>
      <w:lvlJc w:val="left"/>
      <w:pPr>
        <w:ind w:left="2299" w:hanging="360"/>
      </w:pPr>
      <w:rPr>
        <w:rFonts w:ascii="Wingdings" w:hAnsi="Wingdings" w:hint="default"/>
      </w:rPr>
    </w:lvl>
    <w:lvl w:ilvl="3" w:tplc="0C090001" w:tentative="1">
      <w:start w:val="1"/>
      <w:numFmt w:val="bullet"/>
      <w:lvlText w:val=""/>
      <w:lvlJc w:val="left"/>
      <w:pPr>
        <w:ind w:left="3019" w:hanging="360"/>
      </w:pPr>
      <w:rPr>
        <w:rFonts w:ascii="Symbol" w:hAnsi="Symbol" w:hint="default"/>
      </w:rPr>
    </w:lvl>
    <w:lvl w:ilvl="4" w:tplc="0C090003" w:tentative="1">
      <w:start w:val="1"/>
      <w:numFmt w:val="bullet"/>
      <w:lvlText w:val="o"/>
      <w:lvlJc w:val="left"/>
      <w:pPr>
        <w:ind w:left="3739" w:hanging="360"/>
      </w:pPr>
      <w:rPr>
        <w:rFonts w:ascii="Courier New" w:hAnsi="Courier New" w:cs="Courier New" w:hint="default"/>
      </w:rPr>
    </w:lvl>
    <w:lvl w:ilvl="5" w:tplc="0C090005" w:tentative="1">
      <w:start w:val="1"/>
      <w:numFmt w:val="bullet"/>
      <w:lvlText w:val=""/>
      <w:lvlJc w:val="left"/>
      <w:pPr>
        <w:ind w:left="4459" w:hanging="360"/>
      </w:pPr>
      <w:rPr>
        <w:rFonts w:ascii="Wingdings" w:hAnsi="Wingdings" w:hint="default"/>
      </w:rPr>
    </w:lvl>
    <w:lvl w:ilvl="6" w:tplc="0C090001" w:tentative="1">
      <w:start w:val="1"/>
      <w:numFmt w:val="bullet"/>
      <w:lvlText w:val=""/>
      <w:lvlJc w:val="left"/>
      <w:pPr>
        <w:ind w:left="5179" w:hanging="360"/>
      </w:pPr>
      <w:rPr>
        <w:rFonts w:ascii="Symbol" w:hAnsi="Symbol" w:hint="default"/>
      </w:rPr>
    </w:lvl>
    <w:lvl w:ilvl="7" w:tplc="0C090003" w:tentative="1">
      <w:start w:val="1"/>
      <w:numFmt w:val="bullet"/>
      <w:lvlText w:val="o"/>
      <w:lvlJc w:val="left"/>
      <w:pPr>
        <w:ind w:left="5899" w:hanging="360"/>
      </w:pPr>
      <w:rPr>
        <w:rFonts w:ascii="Courier New" w:hAnsi="Courier New" w:cs="Courier New" w:hint="default"/>
      </w:rPr>
    </w:lvl>
    <w:lvl w:ilvl="8" w:tplc="0C090005" w:tentative="1">
      <w:start w:val="1"/>
      <w:numFmt w:val="bullet"/>
      <w:lvlText w:val=""/>
      <w:lvlJc w:val="left"/>
      <w:pPr>
        <w:ind w:left="6619" w:hanging="360"/>
      </w:pPr>
      <w:rPr>
        <w:rFonts w:ascii="Wingdings" w:hAnsi="Wingdings" w:hint="default"/>
      </w:rPr>
    </w:lvl>
  </w:abstractNum>
  <w:abstractNum w:abstractNumId="9" w15:restartNumberingAfterBreak="0">
    <w:nsid w:val="40E96DAB"/>
    <w:multiLevelType w:val="hybridMultilevel"/>
    <w:tmpl w:val="1A349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E52A36"/>
    <w:multiLevelType w:val="hybridMultilevel"/>
    <w:tmpl w:val="2C9A67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E6691B"/>
    <w:multiLevelType w:val="hybridMultilevel"/>
    <w:tmpl w:val="FCBEB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6245BA"/>
    <w:multiLevelType w:val="hybridMultilevel"/>
    <w:tmpl w:val="5F4C6C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2222C32"/>
    <w:multiLevelType w:val="hybridMultilevel"/>
    <w:tmpl w:val="64FA4880"/>
    <w:lvl w:ilvl="0" w:tplc="AD52B0E2">
      <w:start w:val="1"/>
      <w:numFmt w:val="decimal"/>
      <w:lvlText w:val="%1."/>
      <w:lvlJc w:val="left"/>
      <w:pPr>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52E30AC9"/>
    <w:multiLevelType w:val="hybridMultilevel"/>
    <w:tmpl w:val="7C0A1598"/>
    <w:lvl w:ilvl="0" w:tplc="AAB8F8EE">
      <w:start w:val="1"/>
      <w:numFmt w:val="decimal"/>
      <w:pStyle w:val="BNotelist"/>
      <w:lvlText w:val="%1."/>
      <w:lvlJc w:val="left"/>
      <w:pPr>
        <w:ind w:left="2769" w:hanging="360"/>
      </w:pPr>
    </w:lvl>
    <w:lvl w:ilvl="1" w:tplc="0C090019" w:tentative="1">
      <w:start w:val="1"/>
      <w:numFmt w:val="lowerLetter"/>
      <w:lvlText w:val="%2."/>
      <w:lvlJc w:val="left"/>
      <w:pPr>
        <w:ind w:left="3849" w:hanging="360"/>
      </w:pPr>
    </w:lvl>
    <w:lvl w:ilvl="2" w:tplc="0C09001B" w:tentative="1">
      <w:start w:val="1"/>
      <w:numFmt w:val="lowerRoman"/>
      <w:lvlText w:val="%3."/>
      <w:lvlJc w:val="right"/>
      <w:pPr>
        <w:ind w:left="4569" w:hanging="180"/>
      </w:pPr>
    </w:lvl>
    <w:lvl w:ilvl="3" w:tplc="0C09000F" w:tentative="1">
      <w:start w:val="1"/>
      <w:numFmt w:val="decimal"/>
      <w:lvlText w:val="%4."/>
      <w:lvlJc w:val="left"/>
      <w:pPr>
        <w:ind w:left="5289" w:hanging="360"/>
      </w:pPr>
    </w:lvl>
    <w:lvl w:ilvl="4" w:tplc="0C090019" w:tentative="1">
      <w:start w:val="1"/>
      <w:numFmt w:val="lowerLetter"/>
      <w:lvlText w:val="%5."/>
      <w:lvlJc w:val="left"/>
      <w:pPr>
        <w:ind w:left="6009" w:hanging="360"/>
      </w:pPr>
    </w:lvl>
    <w:lvl w:ilvl="5" w:tplc="0C09001B" w:tentative="1">
      <w:start w:val="1"/>
      <w:numFmt w:val="lowerRoman"/>
      <w:lvlText w:val="%6."/>
      <w:lvlJc w:val="right"/>
      <w:pPr>
        <w:ind w:left="6729" w:hanging="180"/>
      </w:pPr>
    </w:lvl>
    <w:lvl w:ilvl="6" w:tplc="0C09000F" w:tentative="1">
      <w:start w:val="1"/>
      <w:numFmt w:val="decimal"/>
      <w:lvlText w:val="%7."/>
      <w:lvlJc w:val="left"/>
      <w:pPr>
        <w:ind w:left="7449" w:hanging="360"/>
      </w:pPr>
    </w:lvl>
    <w:lvl w:ilvl="7" w:tplc="0C090019" w:tentative="1">
      <w:start w:val="1"/>
      <w:numFmt w:val="lowerLetter"/>
      <w:lvlText w:val="%8."/>
      <w:lvlJc w:val="left"/>
      <w:pPr>
        <w:ind w:left="8169" w:hanging="360"/>
      </w:pPr>
    </w:lvl>
    <w:lvl w:ilvl="8" w:tplc="0C09001B" w:tentative="1">
      <w:start w:val="1"/>
      <w:numFmt w:val="lowerRoman"/>
      <w:lvlText w:val="%9."/>
      <w:lvlJc w:val="right"/>
      <w:pPr>
        <w:ind w:left="8889" w:hanging="180"/>
      </w:pPr>
    </w:lvl>
  </w:abstractNum>
  <w:abstractNum w:abstractNumId="15" w15:restartNumberingAfterBreak="0">
    <w:nsid w:val="59032191"/>
    <w:multiLevelType w:val="hybridMultilevel"/>
    <w:tmpl w:val="509E4654"/>
    <w:lvl w:ilvl="0" w:tplc="5E3E0176">
      <w:start w:val="1"/>
      <w:numFmt w:val="bullet"/>
      <w:pStyle w:val="CSTalkingPoints"/>
      <w:lvlText w:val=""/>
      <w:lvlJc w:val="left"/>
      <w:pPr>
        <w:ind w:left="1211" w:hanging="360"/>
      </w:pPr>
      <w:rPr>
        <w:rFonts w:ascii="Symbol" w:hAnsi="Symbol" w:hint="default"/>
      </w:rPr>
    </w:lvl>
    <w:lvl w:ilvl="1" w:tplc="0C090003">
      <w:start w:val="1"/>
      <w:numFmt w:val="bullet"/>
      <w:lvlText w:val="o"/>
      <w:lvlJc w:val="left"/>
      <w:pPr>
        <w:ind w:left="1723" w:hanging="360"/>
      </w:pPr>
      <w:rPr>
        <w:rFonts w:ascii="Courier New" w:hAnsi="Courier New" w:cs="Courier New" w:hint="default"/>
      </w:rPr>
    </w:lvl>
    <w:lvl w:ilvl="2" w:tplc="0C090005">
      <w:start w:val="1"/>
      <w:numFmt w:val="bullet"/>
      <w:lvlText w:val=""/>
      <w:lvlJc w:val="left"/>
      <w:pPr>
        <w:ind w:left="2443" w:hanging="360"/>
      </w:pPr>
      <w:rPr>
        <w:rFonts w:ascii="Wingdings" w:hAnsi="Wingdings" w:hint="default"/>
      </w:rPr>
    </w:lvl>
    <w:lvl w:ilvl="3" w:tplc="0C090001">
      <w:start w:val="1"/>
      <w:numFmt w:val="bullet"/>
      <w:lvlText w:val=""/>
      <w:lvlJc w:val="left"/>
      <w:pPr>
        <w:ind w:left="3163" w:hanging="360"/>
      </w:pPr>
      <w:rPr>
        <w:rFonts w:ascii="Symbol" w:hAnsi="Symbol" w:hint="default"/>
      </w:rPr>
    </w:lvl>
    <w:lvl w:ilvl="4" w:tplc="0C090003">
      <w:start w:val="1"/>
      <w:numFmt w:val="bullet"/>
      <w:lvlText w:val="o"/>
      <w:lvlJc w:val="left"/>
      <w:pPr>
        <w:ind w:left="3883" w:hanging="360"/>
      </w:pPr>
      <w:rPr>
        <w:rFonts w:ascii="Courier New" w:hAnsi="Courier New" w:cs="Courier New" w:hint="default"/>
      </w:rPr>
    </w:lvl>
    <w:lvl w:ilvl="5" w:tplc="0C090005">
      <w:start w:val="1"/>
      <w:numFmt w:val="bullet"/>
      <w:lvlText w:val=""/>
      <w:lvlJc w:val="left"/>
      <w:pPr>
        <w:ind w:left="4603" w:hanging="360"/>
      </w:pPr>
      <w:rPr>
        <w:rFonts w:ascii="Wingdings" w:hAnsi="Wingdings" w:hint="default"/>
      </w:rPr>
    </w:lvl>
    <w:lvl w:ilvl="6" w:tplc="0C090001">
      <w:start w:val="1"/>
      <w:numFmt w:val="bullet"/>
      <w:lvlText w:val=""/>
      <w:lvlJc w:val="left"/>
      <w:pPr>
        <w:ind w:left="5323" w:hanging="360"/>
      </w:pPr>
      <w:rPr>
        <w:rFonts w:ascii="Symbol" w:hAnsi="Symbol" w:hint="default"/>
      </w:rPr>
    </w:lvl>
    <w:lvl w:ilvl="7" w:tplc="0C090003">
      <w:start w:val="1"/>
      <w:numFmt w:val="bullet"/>
      <w:lvlText w:val="o"/>
      <w:lvlJc w:val="left"/>
      <w:pPr>
        <w:ind w:left="6043" w:hanging="360"/>
      </w:pPr>
      <w:rPr>
        <w:rFonts w:ascii="Courier New" w:hAnsi="Courier New" w:cs="Courier New" w:hint="default"/>
      </w:rPr>
    </w:lvl>
    <w:lvl w:ilvl="8" w:tplc="0C090005">
      <w:start w:val="1"/>
      <w:numFmt w:val="bullet"/>
      <w:lvlText w:val=""/>
      <w:lvlJc w:val="left"/>
      <w:pPr>
        <w:ind w:left="6763" w:hanging="360"/>
      </w:pPr>
      <w:rPr>
        <w:rFonts w:ascii="Wingdings" w:hAnsi="Wingdings" w:hint="default"/>
      </w:rPr>
    </w:lvl>
  </w:abstractNum>
  <w:abstractNum w:abstractNumId="16" w15:restartNumberingAfterBreak="0">
    <w:nsid w:val="594D1617"/>
    <w:multiLevelType w:val="hybridMultilevel"/>
    <w:tmpl w:val="5DAA9E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648933DB"/>
    <w:multiLevelType w:val="hybridMultilevel"/>
    <w:tmpl w:val="439050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6F50C28"/>
    <w:multiLevelType w:val="hybridMultilevel"/>
    <w:tmpl w:val="10805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86482B"/>
    <w:multiLevelType w:val="hybridMultilevel"/>
    <w:tmpl w:val="A4AC0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9D3AD7"/>
    <w:multiLevelType w:val="hybridMultilevel"/>
    <w:tmpl w:val="1D5CB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30798C"/>
    <w:multiLevelType w:val="hybridMultilevel"/>
    <w:tmpl w:val="2E98D6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8B5061B"/>
    <w:multiLevelType w:val="hybridMultilevel"/>
    <w:tmpl w:val="F7EE2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4"/>
  </w:num>
  <w:num w:numId="4">
    <w:abstractNumId w:val="15"/>
  </w:num>
  <w:num w:numId="5">
    <w:abstractNumId w:val="15"/>
  </w:num>
  <w:num w:numId="6">
    <w:abstractNumId w:val="3"/>
  </w:num>
  <w:num w:numId="7">
    <w:abstractNumId w:val="17"/>
  </w:num>
  <w:num w:numId="8">
    <w:abstractNumId w:val="22"/>
  </w:num>
  <w:num w:numId="9">
    <w:abstractNumId w:val="9"/>
  </w:num>
  <w:num w:numId="10">
    <w:abstractNumId w:val="6"/>
  </w:num>
  <w:num w:numId="11">
    <w:abstractNumId w:val="18"/>
  </w:num>
  <w:num w:numId="12">
    <w:abstractNumId w:val="12"/>
  </w:num>
  <w:num w:numId="13">
    <w:abstractNumId w:val="0"/>
  </w:num>
  <w:num w:numId="14">
    <w:abstractNumId w:val="20"/>
  </w:num>
  <w:num w:numId="15">
    <w:abstractNumId w:val="19"/>
  </w:num>
  <w:num w:numId="16">
    <w:abstractNumId w:val="10"/>
  </w:num>
  <w:num w:numId="17">
    <w:abstractNumId w:val="2"/>
  </w:num>
  <w:num w:numId="18">
    <w:abstractNumId w:val="21"/>
  </w:num>
  <w:num w:numId="19">
    <w:abstractNumId w:val="5"/>
  </w:num>
  <w:num w:numId="20">
    <w:abstractNumId w:val="16"/>
  </w:num>
  <w:num w:numId="21">
    <w:abstractNumId w:val="11"/>
  </w:num>
  <w:num w:numId="22">
    <w:abstractNumId w:val="4"/>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F57"/>
    <w:rsid w:val="000013FC"/>
    <w:rsid w:val="00011C20"/>
    <w:rsid w:val="0002008E"/>
    <w:rsid w:val="00020223"/>
    <w:rsid w:val="00020F93"/>
    <w:rsid w:val="00021465"/>
    <w:rsid w:val="00027CA3"/>
    <w:rsid w:val="000373C6"/>
    <w:rsid w:val="00037CC9"/>
    <w:rsid w:val="00043D58"/>
    <w:rsid w:val="000525A6"/>
    <w:rsid w:val="00055101"/>
    <w:rsid w:val="00056AE1"/>
    <w:rsid w:val="00062636"/>
    <w:rsid w:val="00066A1E"/>
    <w:rsid w:val="00082A09"/>
    <w:rsid w:val="0009093C"/>
    <w:rsid w:val="0009170B"/>
    <w:rsid w:val="000C363D"/>
    <w:rsid w:val="000D13EE"/>
    <w:rsid w:val="000F2111"/>
    <w:rsid w:val="00103CEC"/>
    <w:rsid w:val="00103DBF"/>
    <w:rsid w:val="001043B0"/>
    <w:rsid w:val="00127067"/>
    <w:rsid w:val="001312D8"/>
    <w:rsid w:val="00132947"/>
    <w:rsid w:val="001367E1"/>
    <w:rsid w:val="00142436"/>
    <w:rsid w:val="00144101"/>
    <w:rsid w:val="00156C63"/>
    <w:rsid w:val="001610B6"/>
    <w:rsid w:val="00163886"/>
    <w:rsid w:val="00172F95"/>
    <w:rsid w:val="00175EE2"/>
    <w:rsid w:val="0017795E"/>
    <w:rsid w:val="0018395F"/>
    <w:rsid w:val="001A07B7"/>
    <w:rsid w:val="001A149F"/>
    <w:rsid w:val="001A1506"/>
    <w:rsid w:val="001A7C4E"/>
    <w:rsid w:val="001B175F"/>
    <w:rsid w:val="001B45B0"/>
    <w:rsid w:val="001F2FFA"/>
    <w:rsid w:val="001F66DB"/>
    <w:rsid w:val="001F6E4B"/>
    <w:rsid w:val="002018D7"/>
    <w:rsid w:val="00206479"/>
    <w:rsid w:val="00207007"/>
    <w:rsid w:val="00210C56"/>
    <w:rsid w:val="0021269E"/>
    <w:rsid w:val="002130A9"/>
    <w:rsid w:val="00214612"/>
    <w:rsid w:val="00216E4B"/>
    <w:rsid w:val="002305C8"/>
    <w:rsid w:val="00244FDB"/>
    <w:rsid w:val="00280816"/>
    <w:rsid w:val="0028169D"/>
    <w:rsid w:val="00282B20"/>
    <w:rsid w:val="00282DBD"/>
    <w:rsid w:val="002A18F2"/>
    <w:rsid w:val="002B05D0"/>
    <w:rsid w:val="002C3AEB"/>
    <w:rsid w:val="002D3EE8"/>
    <w:rsid w:val="002D78B7"/>
    <w:rsid w:val="002E2F24"/>
    <w:rsid w:val="002F4F75"/>
    <w:rsid w:val="002F7E99"/>
    <w:rsid w:val="0030675B"/>
    <w:rsid w:val="00311AAC"/>
    <w:rsid w:val="003140C0"/>
    <w:rsid w:val="003238B2"/>
    <w:rsid w:val="0033100E"/>
    <w:rsid w:val="00340B19"/>
    <w:rsid w:val="00355112"/>
    <w:rsid w:val="003771FE"/>
    <w:rsid w:val="00380E62"/>
    <w:rsid w:val="003823B7"/>
    <w:rsid w:val="003956B4"/>
    <w:rsid w:val="003A639E"/>
    <w:rsid w:val="003B6083"/>
    <w:rsid w:val="003C3D22"/>
    <w:rsid w:val="003C60CB"/>
    <w:rsid w:val="003D10CE"/>
    <w:rsid w:val="003D38D4"/>
    <w:rsid w:val="003D74C5"/>
    <w:rsid w:val="003E11BA"/>
    <w:rsid w:val="003E77C2"/>
    <w:rsid w:val="004028F9"/>
    <w:rsid w:val="00410C65"/>
    <w:rsid w:val="00416595"/>
    <w:rsid w:val="00447435"/>
    <w:rsid w:val="0045027F"/>
    <w:rsid w:val="00473880"/>
    <w:rsid w:val="00475E6F"/>
    <w:rsid w:val="004763BD"/>
    <w:rsid w:val="004833CF"/>
    <w:rsid w:val="0049122C"/>
    <w:rsid w:val="00492617"/>
    <w:rsid w:val="00497102"/>
    <w:rsid w:val="004A607F"/>
    <w:rsid w:val="004C307E"/>
    <w:rsid w:val="004C4F89"/>
    <w:rsid w:val="004C559C"/>
    <w:rsid w:val="004F29D5"/>
    <w:rsid w:val="00500F23"/>
    <w:rsid w:val="005064C4"/>
    <w:rsid w:val="00510C8C"/>
    <w:rsid w:val="00520484"/>
    <w:rsid w:val="0052231E"/>
    <w:rsid w:val="0053211A"/>
    <w:rsid w:val="00542BAE"/>
    <w:rsid w:val="00550E71"/>
    <w:rsid w:val="00551562"/>
    <w:rsid w:val="005616A0"/>
    <w:rsid w:val="0058024F"/>
    <w:rsid w:val="00580B73"/>
    <w:rsid w:val="0058360A"/>
    <w:rsid w:val="00584A22"/>
    <w:rsid w:val="00585154"/>
    <w:rsid w:val="00590359"/>
    <w:rsid w:val="00592B87"/>
    <w:rsid w:val="00593151"/>
    <w:rsid w:val="005957FD"/>
    <w:rsid w:val="005A3720"/>
    <w:rsid w:val="005A6421"/>
    <w:rsid w:val="005A73FB"/>
    <w:rsid w:val="005B5131"/>
    <w:rsid w:val="005C144E"/>
    <w:rsid w:val="005D098C"/>
    <w:rsid w:val="005D5950"/>
    <w:rsid w:val="005E2756"/>
    <w:rsid w:val="005E4451"/>
    <w:rsid w:val="006033F8"/>
    <w:rsid w:val="0062097D"/>
    <w:rsid w:val="00625D93"/>
    <w:rsid w:val="00631C57"/>
    <w:rsid w:val="006340A8"/>
    <w:rsid w:val="0063450C"/>
    <w:rsid w:val="006351F0"/>
    <w:rsid w:val="006430BC"/>
    <w:rsid w:val="00652C90"/>
    <w:rsid w:val="006617A5"/>
    <w:rsid w:val="00662538"/>
    <w:rsid w:val="006764F6"/>
    <w:rsid w:val="0068350E"/>
    <w:rsid w:val="0069156B"/>
    <w:rsid w:val="006925B5"/>
    <w:rsid w:val="006950C6"/>
    <w:rsid w:val="006C26B5"/>
    <w:rsid w:val="006D287B"/>
    <w:rsid w:val="006F4E7A"/>
    <w:rsid w:val="007211B2"/>
    <w:rsid w:val="0072485B"/>
    <w:rsid w:val="00735BFB"/>
    <w:rsid w:val="00737E0A"/>
    <w:rsid w:val="00751E6C"/>
    <w:rsid w:val="007525D3"/>
    <w:rsid w:val="00774E0E"/>
    <w:rsid w:val="007767DE"/>
    <w:rsid w:val="0078141D"/>
    <w:rsid w:val="00791A5D"/>
    <w:rsid w:val="007A0D40"/>
    <w:rsid w:val="007A3EDF"/>
    <w:rsid w:val="007B6B4F"/>
    <w:rsid w:val="007C2F0D"/>
    <w:rsid w:val="007D7828"/>
    <w:rsid w:val="007E365E"/>
    <w:rsid w:val="007F0F2E"/>
    <w:rsid w:val="007F153E"/>
    <w:rsid w:val="007F722C"/>
    <w:rsid w:val="007F794C"/>
    <w:rsid w:val="00810FEE"/>
    <w:rsid w:val="00811444"/>
    <w:rsid w:val="00811549"/>
    <w:rsid w:val="00821CA5"/>
    <w:rsid w:val="00832BFA"/>
    <w:rsid w:val="008463B5"/>
    <w:rsid w:val="0085200A"/>
    <w:rsid w:val="0085271F"/>
    <w:rsid w:val="00862AD6"/>
    <w:rsid w:val="008678DD"/>
    <w:rsid w:val="00876320"/>
    <w:rsid w:val="00876F4A"/>
    <w:rsid w:val="00877AFB"/>
    <w:rsid w:val="008A21CA"/>
    <w:rsid w:val="008B1A67"/>
    <w:rsid w:val="008C7CCE"/>
    <w:rsid w:val="008D562D"/>
    <w:rsid w:val="008D7FF3"/>
    <w:rsid w:val="008E1268"/>
    <w:rsid w:val="008E5950"/>
    <w:rsid w:val="008F3D28"/>
    <w:rsid w:val="00907A70"/>
    <w:rsid w:val="00917328"/>
    <w:rsid w:val="0092383F"/>
    <w:rsid w:val="00927C32"/>
    <w:rsid w:val="00931EFB"/>
    <w:rsid w:val="0094198A"/>
    <w:rsid w:val="009425CA"/>
    <w:rsid w:val="00956316"/>
    <w:rsid w:val="00961980"/>
    <w:rsid w:val="00963C2D"/>
    <w:rsid w:val="00973AF7"/>
    <w:rsid w:val="00991008"/>
    <w:rsid w:val="00993334"/>
    <w:rsid w:val="009C3074"/>
    <w:rsid w:val="009C357F"/>
    <w:rsid w:val="009D1B59"/>
    <w:rsid w:val="009E3F57"/>
    <w:rsid w:val="009E5941"/>
    <w:rsid w:val="009F10D9"/>
    <w:rsid w:val="00A14028"/>
    <w:rsid w:val="00A2551D"/>
    <w:rsid w:val="00A36DCD"/>
    <w:rsid w:val="00A40C60"/>
    <w:rsid w:val="00A509ED"/>
    <w:rsid w:val="00A70AC1"/>
    <w:rsid w:val="00A70BD1"/>
    <w:rsid w:val="00A72A37"/>
    <w:rsid w:val="00A973E7"/>
    <w:rsid w:val="00AA24AA"/>
    <w:rsid w:val="00AA6664"/>
    <w:rsid w:val="00AD5BEB"/>
    <w:rsid w:val="00AE6632"/>
    <w:rsid w:val="00B04C69"/>
    <w:rsid w:val="00B051D2"/>
    <w:rsid w:val="00B23563"/>
    <w:rsid w:val="00B23633"/>
    <w:rsid w:val="00B23F5E"/>
    <w:rsid w:val="00B40D84"/>
    <w:rsid w:val="00B53AFC"/>
    <w:rsid w:val="00B64C5D"/>
    <w:rsid w:val="00B75E32"/>
    <w:rsid w:val="00B844E9"/>
    <w:rsid w:val="00B85838"/>
    <w:rsid w:val="00B9212A"/>
    <w:rsid w:val="00BA6C8B"/>
    <w:rsid w:val="00BB150D"/>
    <w:rsid w:val="00BB44B1"/>
    <w:rsid w:val="00BD1921"/>
    <w:rsid w:val="00BD2CA3"/>
    <w:rsid w:val="00BD61B8"/>
    <w:rsid w:val="00BE0A9E"/>
    <w:rsid w:val="00BE3EBB"/>
    <w:rsid w:val="00BE6665"/>
    <w:rsid w:val="00BF7598"/>
    <w:rsid w:val="00C01349"/>
    <w:rsid w:val="00C0136E"/>
    <w:rsid w:val="00C05697"/>
    <w:rsid w:val="00C117E5"/>
    <w:rsid w:val="00C14551"/>
    <w:rsid w:val="00C15B7D"/>
    <w:rsid w:val="00C26C45"/>
    <w:rsid w:val="00C339EF"/>
    <w:rsid w:val="00C44ED8"/>
    <w:rsid w:val="00C47B62"/>
    <w:rsid w:val="00C557D8"/>
    <w:rsid w:val="00C55E44"/>
    <w:rsid w:val="00C60999"/>
    <w:rsid w:val="00C70D79"/>
    <w:rsid w:val="00C72836"/>
    <w:rsid w:val="00C8152E"/>
    <w:rsid w:val="00C84198"/>
    <w:rsid w:val="00C87892"/>
    <w:rsid w:val="00C9433A"/>
    <w:rsid w:val="00C94BE2"/>
    <w:rsid w:val="00C94E8C"/>
    <w:rsid w:val="00C9629C"/>
    <w:rsid w:val="00CB04DE"/>
    <w:rsid w:val="00CB1B64"/>
    <w:rsid w:val="00CB2220"/>
    <w:rsid w:val="00CB69CF"/>
    <w:rsid w:val="00CC06A2"/>
    <w:rsid w:val="00CD3693"/>
    <w:rsid w:val="00CD371F"/>
    <w:rsid w:val="00CD6D2D"/>
    <w:rsid w:val="00CE1340"/>
    <w:rsid w:val="00CF36FA"/>
    <w:rsid w:val="00D01488"/>
    <w:rsid w:val="00D02532"/>
    <w:rsid w:val="00D03A42"/>
    <w:rsid w:val="00D05ECF"/>
    <w:rsid w:val="00D07371"/>
    <w:rsid w:val="00D12919"/>
    <w:rsid w:val="00D26F9F"/>
    <w:rsid w:val="00D31644"/>
    <w:rsid w:val="00D32D08"/>
    <w:rsid w:val="00D354C0"/>
    <w:rsid w:val="00D43AA8"/>
    <w:rsid w:val="00D554C5"/>
    <w:rsid w:val="00D55DB1"/>
    <w:rsid w:val="00D6541D"/>
    <w:rsid w:val="00D75187"/>
    <w:rsid w:val="00D75422"/>
    <w:rsid w:val="00D95B61"/>
    <w:rsid w:val="00DA459D"/>
    <w:rsid w:val="00DB1194"/>
    <w:rsid w:val="00DE1CE6"/>
    <w:rsid w:val="00DE4CCE"/>
    <w:rsid w:val="00DE7544"/>
    <w:rsid w:val="00DF0C46"/>
    <w:rsid w:val="00E06513"/>
    <w:rsid w:val="00E156C8"/>
    <w:rsid w:val="00E24A83"/>
    <w:rsid w:val="00E523B7"/>
    <w:rsid w:val="00E61E4F"/>
    <w:rsid w:val="00E7412B"/>
    <w:rsid w:val="00E75E69"/>
    <w:rsid w:val="00E80A20"/>
    <w:rsid w:val="00E84C08"/>
    <w:rsid w:val="00E86193"/>
    <w:rsid w:val="00E923C5"/>
    <w:rsid w:val="00EA6FF3"/>
    <w:rsid w:val="00EC3190"/>
    <w:rsid w:val="00EC389E"/>
    <w:rsid w:val="00EC74DB"/>
    <w:rsid w:val="00ED546C"/>
    <w:rsid w:val="00EE6557"/>
    <w:rsid w:val="00EE66D5"/>
    <w:rsid w:val="00EF1794"/>
    <w:rsid w:val="00EF1D77"/>
    <w:rsid w:val="00F12480"/>
    <w:rsid w:val="00F23E83"/>
    <w:rsid w:val="00F267F5"/>
    <w:rsid w:val="00F27B11"/>
    <w:rsid w:val="00F31305"/>
    <w:rsid w:val="00F31773"/>
    <w:rsid w:val="00F32FDE"/>
    <w:rsid w:val="00F37A22"/>
    <w:rsid w:val="00F4415D"/>
    <w:rsid w:val="00F46060"/>
    <w:rsid w:val="00F50E9A"/>
    <w:rsid w:val="00F54EBE"/>
    <w:rsid w:val="00F56EB5"/>
    <w:rsid w:val="00F747E4"/>
    <w:rsid w:val="00FA462A"/>
    <w:rsid w:val="00FA5D9E"/>
    <w:rsid w:val="00FA6039"/>
    <w:rsid w:val="00FA7972"/>
    <w:rsid w:val="00FA7DC7"/>
    <w:rsid w:val="00FC2DC2"/>
    <w:rsid w:val="00FC385E"/>
    <w:rsid w:val="00FE382F"/>
    <w:rsid w:val="00FF53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D32DE6"/>
  <w15:chartTrackingRefBased/>
  <w15:docId w15:val="{CE7271E6-5B07-4D88-946C-7E0E73E5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51D"/>
  </w:style>
  <w:style w:type="paragraph" w:styleId="Heading1">
    <w:name w:val="heading 1"/>
    <w:basedOn w:val="Normal"/>
    <w:next w:val="Normal"/>
    <w:link w:val="Heading1Char"/>
    <w:uiPriority w:val="9"/>
    <w:qFormat/>
    <w:rsid w:val="00E86193"/>
    <w:pPr>
      <w:keepNext/>
      <w:keepLines/>
      <w:spacing w:after="240" w:line="240" w:lineRule="auto"/>
      <w:outlineLvl w:val="0"/>
    </w:pPr>
    <w:rPr>
      <w:rFonts w:ascii="Calibri" w:eastAsiaTheme="majorEastAsia" w:hAnsi="Calibri" w:cstheme="majorBidi"/>
      <w:b/>
      <w:caps/>
      <w:kern w:val="28"/>
      <w:sz w:val="36"/>
      <w:szCs w:val="32"/>
    </w:rPr>
  </w:style>
  <w:style w:type="paragraph" w:styleId="Heading2">
    <w:name w:val="heading 2"/>
    <w:basedOn w:val="Normal"/>
    <w:next w:val="Normal"/>
    <w:link w:val="Heading2Char"/>
    <w:uiPriority w:val="9"/>
    <w:unhideWhenUsed/>
    <w:qFormat/>
    <w:rsid w:val="00E86193"/>
    <w:pPr>
      <w:keepNext/>
      <w:keepLines/>
      <w:spacing w:before="360" w:after="200" w:line="240" w:lineRule="auto"/>
      <w:outlineLvl w:val="1"/>
    </w:pPr>
    <w:rPr>
      <w:rFonts w:ascii="Calibri" w:eastAsiaTheme="majorEastAsia" w:hAnsi="Calibri" w:cstheme="majorBidi"/>
      <w:b/>
      <w:sz w:val="32"/>
      <w:szCs w:val="26"/>
    </w:rPr>
  </w:style>
  <w:style w:type="paragraph" w:styleId="Heading3">
    <w:name w:val="heading 3"/>
    <w:basedOn w:val="Normal"/>
    <w:next w:val="Normal"/>
    <w:link w:val="Heading3Char"/>
    <w:uiPriority w:val="9"/>
    <w:unhideWhenUsed/>
    <w:qFormat/>
    <w:rsid w:val="00E86193"/>
    <w:pPr>
      <w:keepNext/>
      <w:keepLines/>
      <w:spacing w:before="360" w:after="200" w:line="240" w:lineRule="auto"/>
      <w:outlineLvl w:val="2"/>
    </w:pPr>
    <w:rPr>
      <w:rFonts w:ascii="Calibri" w:eastAsiaTheme="majorEastAsia" w:hAnsi="Calibri" w:cstheme="majorBidi"/>
      <w:b/>
      <w:sz w:val="28"/>
      <w:szCs w:val="24"/>
    </w:rPr>
  </w:style>
  <w:style w:type="paragraph" w:styleId="Heading4">
    <w:name w:val="heading 4"/>
    <w:basedOn w:val="Normal"/>
    <w:next w:val="Normal"/>
    <w:link w:val="Heading4Char"/>
    <w:uiPriority w:val="9"/>
    <w:unhideWhenUsed/>
    <w:qFormat/>
    <w:rsid w:val="00E86193"/>
    <w:pPr>
      <w:keepNext/>
      <w:keepLines/>
      <w:spacing w:before="240" w:after="120" w:line="240" w:lineRule="auto"/>
      <w:outlineLvl w:val="3"/>
    </w:pPr>
    <w:rPr>
      <w:rFonts w:ascii="Calibri" w:eastAsiaTheme="majorEastAsia" w:hAnsi="Calibri" w:cstheme="majorBidi"/>
      <w:b/>
      <w:i/>
      <w:iCs/>
      <w:sz w:val="24"/>
    </w:rPr>
  </w:style>
  <w:style w:type="paragraph" w:styleId="Heading5">
    <w:name w:val="heading 5"/>
    <w:basedOn w:val="Normal"/>
    <w:next w:val="Normal"/>
    <w:link w:val="Heading5Char"/>
    <w:uiPriority w:val="9"/>
    <w:semiHidden/>
    <w:unhideWhenUsed/>
    <w:rsid w:val="00F54EB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odytext">
    <w:name w:val="B_body_text"/>
    <w:basedOn w:val="Normal"/>
    <w:link w:val="BbodytextChar"/>
    <w:qFormat/>
    <w:rsid w:val="001B45B0"/>
    <w:pPr>
      <w:spacing w:before="120" w:after="120" w:line="240" w:lineRule="auto"/>
    </w:pPr>
    <w:rPr>
      <w:sz w:val="24"/>
    </w:rPr>
  </w:style>
  <w:style w:type="paragraph" w:customStyle="1" w:styleId="BBullet1">
    <w:name w:val="B_Bullet_1"/>
    <w:basedOn w:val="Bbodytext"/>
    <w:link w:val="BBullet1Char"/>
    <w:qFormat/>
    <w:rsid w:val="00BD1921"/>
    <w:pPr>
      <w:numPr>
        <w:numId w:val="1"/>
      </w:numPr>
      <w:tabs>
        <w:tab w:val="left" w:pos="357"/>
      </w:tabs>
      <w:spacing w:before="0"/>
      <w:ind w:left="714" w:hanging="357"/>
    </w:pPr>
  </w:style>
  <w:style w:type="character" w:customStyle="1" w:styleId="BbodytextChar">
    <w:name w:val="B_body_text Char"/>
    <w:basedOn w:val="DefaultParagraphFont"/>
    <w:link w:val="Bbodytext"/>
    <w:rsid w:val="001B45B0"/>
    <w:rPr>
      <w:sz w:val="24"/>
    </w:rPr>
  </w:style>
  <w:style w:type="paragraph" w:styleId="Header">
    <w:name w:val="header"/>
    <w:basedOn w:val="Normal"/>
    <w:link w:val="HeaderChar"/>
    <w:uiPriority w:val="99"/>
    <w:unhideWhenUsed/>
    <w:rsid w:val="00C339EF"/>
    <w:pPr>
      <w:tabs>
        <w:tab w:val="center" w:pos="4513"/>
        <w:tab w:val="right" w:pos="9026"/>
      </w:tabs>
      <w:spacing w:after="0" w:line="240" w:lineRule="auto"/>
    </w:pPr>
  </w:style>
  <w:style w:type="character" w:customStyle="1" w:styleId="BBullet1Char">
    <w:name w:val="B_Bullet_1 Char"/>
    <w:basedOn w:val="BbodytextChar"/>
    <w:link w:val="BBullet1"/>
    <w:rsid w:val="00BD1921"/>
    <w:rPr>
      <w:sz w:val="24"/>
    </w:rPr>
  </w:style>
  <w:style w:type="character" w:customStyle="1" w:styleId="HeaderChar">
    <w:name w:val="Header Char"/>
    <w:basedOn w:val="DefaultParagraphFont"/>
    <w:link w:val="Header"/>
    <w:uiPriority w:val="99"/>
    <w:rsid w:val="00C339EF"/>
  </w:style>
  <w:style w:type="paragraph" w:styleId="Footer">
    <w:name w:val="footer"/>
    <w:basedOn w:val="Normal"/>
    <w:link w:val="FooterChar"/>
    <w:uiPriority w:val="99"/>
    <w:unhideWhenUsed/>
    <w:rsid w:val="00C339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39EF"/>
  </w:style>
  <w:style w:type="paragraph" w:styleId="BalloonText">
    <w:name w:val="Balloon Text"/>
    <w:basedOn w:val="Normal"/>
    <w:link w:val="BalloonTextChar"/>
    <w:uiPriority w:val="99"/>
    <w:semiHidden/>
    <w:unhideWhenUsed/>
    <w:rsid w:val="00132947"/>
    <w:pPr>
      <w:spacing w:after="0" w:line="240" w:lineRule="auto"/>
    </w:pPr>
    <w:rPr>
      <w:rFonts w:ascii="Segoe UI" w:hAnsi="Segoe UI" w:cs="Segoe UI"/>
      <w:sz w:val="18"/>
      <w:szCs w:val="18"/>
    </w:rPr>
  </w:style>
  <w:style w:type="paragraph" w:customStyle="1" w:styleId="BFooter">
    <w:name w:val="B_Footer"/>
    <w:basedOn w:val="Footer"/>
    <w:link w:val="BFooterChar"/>
    <w:qFormat/>
    <w:rsid w:val="00206479"/>
    <w:pPr>
      <w:pBdr>
        <w:top w:val="single" w:sz="4" w:space="1" w:color="auto"/>
      </w:pBdr>
      <w:ind w:left="-284" w:right="-329"/>
    </w:pPr>
    <w:rPr>
      <w:i/>
      <w:sz w:val="20"/>
    </w:rPr>
  </w:style>
  <w:style w:type="character" w:customStyle="1" w:styleId="BalloonTextChar">
    <w:name w:val="Balloon Text Char"/>
    <w:basedOn w:val="DefaultParagraphFont"/>
    <w:link w:val="BalloonText"/>
    <w:uiPriority w:val="99"/>
    <w:semiHidden/>
    <w:rsid w:val="00132947"/>
    <w:rPr>
      <w:rFonts w:ascii="Segoe UI" w:hAnsi="Segoe UI" w:cs="Segoe UI"/>
      <w:sz w:val="18"/>
      <w:szCs w:val="18"/>
    </w:rPr>
  </w:style>
  <w:style w:type="character" w:customStyle="1" w:styleId="Heading1Char">
    <w:name w:val="Heading 1 Char"/>
    <w:basedOn w:val="DefaultParagraphFont"/>
    <w:link w:val="Heading1"/>
    <w:uiPriority w:val="9"/>
    <w:rsid w:val="00E86193"/>
    <w:rPr>
      <w:rFonts w:ascii="Calibri" w:eastAsiaTheme="majorEastAsia" w:hAnsi="Calibri" w:cstheme="majorBidi"/>
      <w:b/>
      <w:caps/>
      <w:kern w:val="28"/>
      <w:sz w:val="36"/>
      <w:szCs w:val="32"/>
    </w:rPr>
  </w:style>
  <w:style w:type="character" w:customStyle="1" w:styleId="BFooterChar">
    <w:name w:val="B_Footer Char"/>
    <w:basedOn w:val="FooterChar"/>
    <w:link w:val="BFooter"/>
    <w:rsid w:val="00206479"/>
    <w:rPr>
      <w:i/>
      <w:sz w:val="20"/>
    </w:rPr>
  </w:style>
  <w:style w:type="paragraph" w:customStyle="1" w:styleId="BBullet2">
    <w:name w:val="B_Bullet_2"/>
    <w:basedOn w:val="BBullet1"/>
    <w:link w:val="BBullet2Char"/>
    <w:qFormat/>
    <w:rsid w:val="001B45B0"/>
    <w:pPr>
      <w:numPr>
        <w:numId w:val="2"/>
      </w:numPr>
      <w:ind w:left="856" w:hanging="357"/>
    </w:pPr>
  </w:style>
  <w:style w:type="character" w:customStyle="1" w:styleId="BBullet2Char">
    <w:name w:val="B_Bullet_2 Char"/>
    <w:basedOn w:val="BBullet1Char"/>
    <w:link w:val="BBullet2"/>
    <w:rsid w:val="001B45B0"/>
    <w:rPr>
      <w:sz w:val="24"/>
    </w:rPr>
  </w:style>
  <w:style w:type="character" w:customStyle="1" w:styleId="Heading2Char">
    <w:name w:val="Heading 2 Char"/>
    <w:basedOn w:val="DefaultParagraphFont"/>
    <w:link w:val="Heading2"/>
    <w:uiPriority w:val="9"/>
    <w:rsid w:val="00E86193"/>
    <w:rPr>
      <w:rFonts w:ascii="Calibri" w:eastAsiaTheme="majorEastAsia" w:hAnsi="Calibri" w:cstheme="majorBidi"/>
      <w:b/>
      <w:sz w:val="32"/>
      <w:szCs w:val="26"/>
    </w:rPr>
  </w:style>
  <w:style w:type="character" w:customStyle="1" w:styleId="Heading3Char">
    <w:name w:val="Heading 3 Char"/>
    <w:basedOn w:val="DefaultParagraphFont"/>
    <w:link w:val="Heading3"/>
    <w:uiPriority w:val="9"/>
    <w:rsid w:val="00E86193"/>
    <w:rPr>
      <w:rFonts w:ascii="Calibri" w:eastAsiaTheme="majorEastAsia" w:hAnsi="Calibri" w:cstheme="majorBidi"/>
      <w:b/>
      <w:sz w:val="28"/>
      <w:szCs w:val="24"/>
    </w:rPr>
  </w:style>
  <w:style w:type="character" w:customStyle="1" w:styleId="Heading4Char">
    <w:name w:val="Heading 4 Char"/>
    <w:basedOn w:val="DefaultParagraphFont"/>
    <w:link w:val="Heading4"/>
    <w:uiPriority w:val="9"/>
    <w:rsid w:val="00E86193"/>
    <w:rPr>
      <w:rFonts w:ascii="Calibri" w:eastAsiaTheme="majorEastAsia" w:hAnsi="Calibri" w:cstheme="majorBidi"/>
      <w:b/>
      <w:i/>
      <w:iCs/>
      <w:sz w:val="24"/>
    </w:rPr>
  </w:style>
  <w:style w:type="paragraph" w:styleId="Caption">
    <w:name w:val="caption"/>
    <w:basedOn w:val="Normal"/>
    <w:next w:val="Normal"/>
    <w:uiPriority w:val="35"/>
    <w:unhideWhenUsed/>
    <w:qFormat/>
    <w:rsid w:val="00D354C0"/>
    <w:pPr>
      <w:keepNext/>
      <w:spacing w:before="240" w:after="200" w:line="240" w:lineRule="auto"/>
    </w:pPr>
    <w:rPr>
      <w:b/>
      <w:iCs/>
      <w:szCs w:val="18"/>
    </w:rPr>
  </w:style>
  <w:style w:type="paragraph" w:customStyle="1" w:styleId="BTableHeadingRowRightAligned">
    <w:name w:val="B_Table Heading Row Right Aligned"/>
    <w:basedOn w:val="Normal"/>
    <w:qFormat/>
    <w:rsid w:val="006925B5"/>
    <w:pPr>
      <w:spacing w:after="0" w:line="240" w:lineRule="auto"/>
      <w:ind w:left="227" w:hanging="227"/>
      <w:jc w:val="right"/>
    </w:pPr>
    <w:rPr>
      <w:rFonts w:ascii="Calibri" w:hAnsi="Calibri"/>
      <w:b/>
      <w:sz w:val="20"/>
    </w:rPr>
  </w:style>
  <w:style w:type="paragraph" w:customStyle="1" w:styleId="BTableHeadingRowCentreAligned">
    <w:name w:val="B_Table Heading Row Centre Aligned"/>
    <w:basedOn w:val="BTableHeadingRowRightAligned"/>
    <w:qFormat/>
    <w:rsid w:val="00EC74DB"/>
    <w:pPr>
      <w:jc w:val="center"/>
    </w:pPr>
  </w:style>
  <w:style w:type="paragraph" w:customStyle="1" w:styleId="Btabletextbold">
    <w:name w:val="B_table text bold"/>
    <w:basedOn w:val="Normal"/>
    <w:qFormat/>
    <w:rsid w:val="006925B5"/>
    <w:pPr>
      <w:spacing w:after="0" w:line="240" w:lineRule="auto"/>
      <w:ind w:left="227" w:hanging="227"/>
    </w:pPr>
    <w:rPr>
      <w:rFonts w:ascii="Calibri" w:hAnsi="Calibri"/>
      <w:b/>
      <w:sz w:val="20"/>
    </w:rPr>
  </w:style>
  <w:style w:type="paragraph" w:customStyle="1" w:styleId="Btabletextunbold">
    <w:name w:val="B_ table text unbold"/>
    <w:basedOn w:val="Btabletextbold"/>
    <w:qFormat/>
    <w:rsid w:val="006925B5"/>
    <w:rPr>
      <w:b w:val="0"/>
    </w:rPr>
  </w:style>
  <w:style w:type="paragraph" w:customStyle="1" w:styleId="Style1">
    <w:name w:val="Style1"/>
    <w:basedOn w:val="Btabletextunbold"/>
    <w:rsid w:val="00EC74DB"/>
  </w:style>
  <w:style w:type="paragraph" w:customStyle="1" w:styleId="Btablefigureunbold">
    <w:name w:val="B_table figure unbold"/>
    <w:basedOn w:val="Btabletextunbold"/>
    <w:qFormat/>
    <w:rsid w:val="006925B5"/>
    <w:pPr>
      <w:jc w:val="right"/>
    </w:pPr>
  </w:style>
  <w:style w:type="paragraph" w:customStyle="1" w:styleId="BNote">
    <w:name w:val="B_Note"/>
    <w:basedOn w:val="Normal"/>
    <w:qFormat/>
    <w:rsid w:val="006925B5"/>
    <w:pPr>
      <w:keepNext/>
      <w:spacing w:after="0" w:line="240" w:lineRule="auto"/>
    </w:pPr>
    <w:rPr>
      <w:rFonts w:ascii="Calibri" w:hAnsi="Calibri"/>
      <w:sz w:val="18"/>
    </w:rPr>
  </w:style>
  <w:style w:type="paragraph" w:customStyle="1" w:styleId="BNoteBold">
    <w:name w:val="B_Note Bold"/>
    <w:basedOn w:val="Normal"/>
    <w:qFormat/>
    <w:rsid w:val="006925B5"/>
    <w:pPr>
      <w:keepNext/>
      <w:spacing w:before="120" w:after="0" w:line="240" w:lineRule="auto"/>
    </w:pPr>
    <w:rPr>
      <w:rFonts w:ascii="Calibri" w:hAnsi="Calibri"/>
      <w:b/>
      <w:sz w:val="18"/>
    </w:rPr>
  </w:style>
  <w:style w:type="paragraph" w:customStyle="1" w:styleId="BNotelist">
    <w:name w:val="B_Note list"/>
    <w:basedOn w:val="BNoteBold"/>
    <w:qFormat/>
    <w:rsid w:val="006925B5"/>
    <w:pPr>
      <w:numPr>
        <w:numId w:val="3"/>
      </w:numPr>
      <w:spacing w:before="0"/>
    </w:pPr>
    <w:rPr>
      <w:b w:val="0"/>
    </w:rPr>
  </w:style>
  <w:style w:type="paragraph" w:styleId="IntenseQuote">
    <w:name w:val="Intense Quote"/>
    <w:basedOn w:val="Normal"/>
    <w:next w:val="Normal"/>
    <w:link w:val="IntenseQuoteChar"/>
    <w:uiPriority w:val="30"/>
    <w:rsid w:val="00E84C0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84C08"/>
    <w:rPr>
      <w:i/>
      <w:iCs/>
      <w:color w:val="4472C4" w:themeColor="accent1"/>
    </w:rPr>
  </w:style>
  <w:style w:type="paragraph" w:customStyle="1" w:styleId="BTablefigureBold">
    <w:name w:val="B_Table figure Bold"/>
    <w:basedOn w:val="Btablefigureunbold"/>
    <w:qFormat/>
    <w:rsid w:val="00B23F5E"/>
    <w:rPr>
      <w:b/>
    </w:rPr>
  </w:style>
  <w:style w:type="paragraph" w:customStyle="1" w:styleId="BCoversheetHeading1">
    <w:name w:val="B_Coversheet Heading 1"/>
    <w:basedOn w:val="Normal"/>
    <w:qFormat/>
    <w:rsid w:val="00F54EBE"/>
    <w:pPr>
      <w:spacing w:before="480" w:after="1080"/>
      <w:jc w:val="center"/>
    </w:pPr>
    <w:rPr>
      <w:rFonts w:ascii="Calibri" w:hAnsi="Calibri"/>
      <w:b/>
      <w:sz w:val="36"/>
    </w:rPr>
  </w:style>
  <w:style w:type="paragraph" w:customStyle="1" w:styleId="BCoversheetHeading2">
    <w:name w:val="B_Coversheet Heading 2"/>
    <w:basedOn w:val="BCoversheetHeading1"/>
    <w:qFormat/>
    <w:rsid w:val="00F54EBE"/>
    <w:pPr>
      <w:spacing w:before="240" w:after="480" w:line="240" w:lineRule="auto"/>
      <w:jc w:val="left"/>
    </w:pPr>
    <w:rPr>
      <w:sz w:val="28"/>
    </w:rPr>
  </w:style>
  <w:style w:type="character" w:customStyle="1" w:styleId="Heading5Char">
    <w:name w:val="Heading 5 Char"/>
    <w:basedOn w:val="DefaultParagraphFont"/>
    <w:link w:val="Heading5"/>
    <w:uiPriority w:val="9"/>
    <w:semiHidden/>
    <w:rsid w:val="00F54EBE"/>
    <w:rPr>
      <w:rFonts w:asciiTheme="majorHAnsi" w:eastAsiaTheme="majorEastAsia" w:hAnsiTheme="majorHAnsi" w:cstheme="majorBidi"/>
      <w:color w:val="2F5496" w:themeColor="accent1" w:themeShade="BF"/>
    </w:rPr>
  </w:style>
  <w:style w:type="paragraph" w:customStyle="1" w:styleId="Btabletextitalic">
    <w:name w:val="B_table text italic"/>
    <w:basedOn w:val="Btabletextunbold"/>
    <w:qFormat/>
    <w:rsid w:val="00F54EBE"/>
    <w:rPr>
      <w:i/>
    </w:rPr>
  </w:style>
  <w:style w:type="paragraph" w:customStyle="1" w:styleId="Btabletextbolditalic">
    <w:name w:val="B_table text bold italic"/>
    <w:basedOn w:val="Btabletextunbold"/>
    <w:qFormat/>
    <w:rsid w:val="00F54EBE"/>
    <w:rPr>
      <w:b/>
      <w:i/>
    </w:rPr>
  </w:style>
  <w:style w:type="table" w:styleId="TableGrid">
    <w:name w:val="Table Grid"/>
    <w:basedOn w:val="TableNormal"/>
    <w:uiPriority w:val="39"/>
    <w:rsid w:val="00DA4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tiativefigures">
    <w:name w:val="Initiative figures"/>
    <w:basedOn w:val="Btablefigureunbold"/>
    <w:qFormat/>
    <w:rsid w:val="008678DD"/>
    <w:rPr>
      <w:sz w:val="24"/>
    </w:rPr>
  </w:style>
  <w:style w:type="paragraph" w:customStyle="1" w:styleId="Initiativetext">
    <w:name w:val="Initiative text"/>
    <w:basedOn w:val="Initiativefigures"/>
    <w:qFormat/>
    <w:rsid w:val="008678DD"/>
    <w:pPr>
      <w:jc w:val="left"/>
    </w:pPr>
  </w:style>
  <w:style w:type="paragraph" w:customStyle="1" w:styleId="CSTalkingPoints">
    <w:name w:val="CS Talking Points"/>
    <w:basedOn w:val="Normal"/>
    <w:qFormat/>
    <w:rsid w:val="00B75E32"/>
    <w:pPr>
      <w:numPr>
        <w:numId w:val="4"/>
      </w:numPr>
      <w:spacing w:after="120" w:line="240" w:lineRule="auto"/>
    </w:pPr>
    <w:rPr>
      <w:sz w:val="28"/>
      <w:lang w:eastAsia="en-AU"/>
    </w:rPr>
  </w:style>
  <w:style w:type="paragraph" w:customStyle="1" w:styleId="CSKeyInfoTalkingPoints">
    <w:name w:val="CS Key Info Talking Points"/>
    <w:basedOn w:val="CSTalkingPoints"/>
    <w:qFormat/>
    <w:rsid w:val="00B75E32"/>
    <w:rPr>
      <w:sz w:val="24"/>
    </w:rPr>
  </w:style>
  <w:style w:type="character" w:styleId="Emphasis">
    <w:name w:val="Emphasis"/>
    <w:basedOn w:val="DefaultParagraphFont"/>
    <w:uiPriority w:val="20"/>
    <w:qFormat/>
    <w:rsid w:val="004A607F"/>
    <w:rPr>
      <w:i/>
      <w:iCs/>
    </w:rPr>
  </w:style>
  <w:style w:type="character" w:styleId="Strong">
    <w:name w:val="Strong"/>
    <w:basedOn w:val="DefaultParagraphFont"/>
    <w:uiPriority w:val="22"/>
    <w:qFormat/>
    <w:rsid w:val="004A607F"/>
    <w:rPr>
      <w:b/>
      <w:bCs/>
    </w:rPr>
  </w:style>
  <w:style w:type="paragraph" w:styleId="NoSpacing">
    <w:name w:val="No Spacing"/>
    <w:uiPriority w:val="1"/>
    <w:qFormat/>
    <w:rsid w:val="004A607F"/>
    <w:pPr>
      <w:spacing w:after="0" w:line="240" w:lineRule="auto"/>
    </w:pPr>
  </w:style>
  <w:style w:type="paragraph" w:styleId="ListParagraph">
    <w:name w:val="List Paragraph"/>
    <w:basedOn w:val="Normal"/>
    <w:uiPriority w:val="34"/>
    <w:qFormat/>
    <w:rsid w:val="00D12919"/>
    <w:pPr>
      <w:ind w:left="720"/>
      <w:contextualSpacing/>
    </w:pPr>
  </w:style>
  <w:style w:type="character" w:styleId="Hyperlink">
    <w:name w:val="Hyperlink"/>
    <w:basedOn w:val="DefaultParagraphFont"/>
    <w:uiPriority w:val="99"/>
    <w:unhideWhenUsed/>
    <w:rsid w:val="00876320"/>
    <w:rPr>
      <w:color w:val="0563C1" w:themeColor="hyperlink"/>
      <w:u w:val="single"/>
    </w:rPr>
  </w:style>
  <w:style w:type="character" w:styleId="CommentReference">
    <w:name w:val="annotation reference"/>
    <w:basedOn w:val="DefaultParagraphFont"/>
    <w:uiPriority w:val="99"/>
    <w:semiHidden/>
    <w:unhideWhenUsed/>
    <w:rsid w:val="00CF36FA"/>
    <w:rPr>
      <w:sz w:val="16"/>
      <w:szCs w:val="16"/>
    </w:rPr>
  </w:style>
  <w:style w:type="paragraph" w:styleId="CommentText">
    <w:name w:val="annotation text"/>
    <w:basedOn w:val="Normal"/>
    <w:link w:val="CommentTextChar"/>
    <w:uiPriority w:val="99"/>
    <w:semiHidden/>
    <w:unhideWhenUsed/>
    <w:rsid w:val="00CF36FA"/>
    <w:pPr>
      <w:spacing w:line="240" w:lineRule="auto"/>
    </w:pPr>
    <w:rPr>
      <w:sz w:val="20"/>
      <w:szCs w:val="20"/>
    </w:rPr>
  </w:style>
  <w:style w:type="character" w:customStyle="1" w:styleId="CommentTextChar">
    <w:name w:val="Comment Text Char"/>
    <w:basedOn w:val="DefaultParagraphFont"/>
    <w:link w:val="CommentText"/>
    <w:uiPriority w:val="99"/>
    <w:semiHidden/>
    <w:rsid w:val="00CF36FA"/>
    <w:rPr>
      <w:sz w:val="20"/>
      <w:szCs w:val="20"/>
    </w:rPr>
  </w:style>
  <w:style w:type="paragraph" w:styleId="CommentSubject">
    <w:name w:val="annotation subject"/>
    <w:basedOn w:val="CommentText"/>
    <w:next w:val="CommentText"/>
    <w:link w:val="CommentSubjectChar"/>
    <w:uiPriority w:val="99"/>
    <w:semiHidden/>
    <w:unhideWhenUsed/>
    <w:rsid w:val="00CF36FA"/>
    <w:rPr>
      <w:b/>
      <w:bCs/>
    </w:rPr>
  </w:style>
  <w:style w:type="character" w:customStyle="1" w:styleId="CommentSubjectChar">
    <w:name w:val="Comment Subject Char"/>
    <w:basedOn w:val="CommentTextChar"/>
    <w:link w:val="CommentSubject"/>
    <w:uiPriority w:val="99"/>
    <w:semiHidden/>
    <w:rsid w:val="00CF36FA"/>
    <w:rPr>
      <w:b/>
      <w:bCs/>
      <w:sz w:val="20"/>
      <w:szCs w:val="20"/>
    </w:rPr>
  </w:style>
  <w:style w:type="paragraph" w:styleId="Revision">
    <w:name w:val="Revision"/>
    <w:hidden/>
    <w:uiPriority w:val="99"/>
    <w:semiHidden/>
    <w:rsid w:val="008D562D"/>
    <w:pPr>
      <w:spacing w:after="0" w:line="240" w:lineRule="auto"/>
    </w:pPr>
  </w:style>
  <w:style w:type="character" w:styleId="UnresolvedMention">
    <w:name w:val="Unresolved Mention"/>
    <w:basedOn w:val="DefaultParagraphFont"/>
    <w:uiPriority w:val="99"/>
    <w:semiHidden/>
    <w:unhideWhenUsed/>
    <w:rsid w:val="004F29D5"/>
    <w:rPr>
      <w:color w:val="605E5C"/>
      <w:shd w:val="clear" w:color="auto" w:fill="E1DFDD"/>
    </w:rPr>
  </w:style>
  <w:style w:type="character" w:styleId="FollowedHyperlink">
    <w:name w:val="FollowedHyperlink"/>
    <w:basedOn w:val="DefaultParagraphFont"/>
    <w:uiPriority w:val="99"/>
    <w:semiHidden/>
    <w:unhideWhenUsed/>
    <w:rsid w:val="00F46060"/>
    <w:rPr>
      <w:color w:val="954F72" w:themeColor="followedHyperlink"/>
      <w:u w:val="single"/>
    </w:rPr>
  </w:style>
  <w:style w:type="paragraph" w:customStyle="1" w:styleId="BStablefigures">
    <w:name w:val="BS_table figures"/>
    <w:basedOn w:val="BStabletext"/>
    <w:link w:val="BStablefiguresChar"/>
    <w:autoRedefine/>
    <w:qFormat/>
    <w:rsid w:val="00C72836"/>
    <w:pPr>
      <w:ind w:left="-52" w:firstLine="52"/>
      <w:jc w:val="right"/>
    </w:pPr>
    <w:rPr>
      <w:bCs w:val="0"/>
    </w:rPr>
  </w:style>
  <w:style w:type="paragraph" w:customStyle="1" w:styleId="BStabletext">
    <w:name w:val="BS_table text"/>
    <w:basedOn w:val="Normal"/>
    <w:link w:val="BStabletextChar"/>
    <w:autoRedefine/>
    <w:qFormat/>
    <w:rsid w:val="009C357F"/>
    <w:pPr>
      <w:spacing w:after="0" w:line="23" w:lineRule="atLeast"/>
      <w:ind w:left="114" w:hanging="114"/>
    </w:pPr>
    <w:rPr>
      <w:rFonts w:ascii="Calibri" w:eastAsia="Times New Roman" w:hAnsi="Calibri" w:cs="Times New Roman"/>
      <w:bCs/>
      <w:sz w:val="20"/>
      <w:szCs w:val="20"/>
      <w:lang w:eastAsia="en-AU"/>
    </w:rPr>
  </w:style>
  <w:style w:type="character" w:customStyle="1" w:styleId="BStablefiguresChar">
    <w:name w:val="BS_table figures Char"/>
    <w:basedOn w:val="DefaultParagraphFont"/>
    <w:link w:val="BStablefigures"/>
    <w:rsid w:val="00C72836"/>
    <w:rPr>
      <w:rFonts w:ascii="Calibri" w:eastAsia="Times New Roman" w:hAnsi="Calibri" w:cs="Times New Roman"/>
      <w:sz w:val="20"/>
      <w:szCs w:val="20"/>
      <w:lang w:eastAsia="en-AU"/>
    </w:rPr>
  </w:style>
  <w:style w:type="character" w:customStyle="1" w:styleId="BStabletextChar">
    <w:name w:val="BS_table text Char"/>
    <w:link w:val="BStabletext"/>
    <w:rsid w:val="009C357F"/>
    <w:rPr>
      <w:rFonts w:ascii="Calibri" w:eastAsia="Times New Roman" w:hAnsi="Calibri" w:cs="Times New Roman"/>
      <w:bCs/>
      <w:sz w:val="20"/>
      <w:szCs w:val="20"/>
      <w:lang w:eastAsia="en-AU"/>
    </w:rPr>
  </w:style>
  <w:style w:type="paragraph" w:customStyle="1" w:styleId="BStabletextbold">
    <w:name w:val="BS_table text bold"/>
    <w:basedOn w:val="BStabletext"/>
    <w:qFormat/>
    <w:rsid w:val="00C72836"/>
    <w:rPr>
      <w:b/>
    </w:rPr>
  </w:style>
  <w:style w:type="paragraph" w:customStyle="1" w:styleId="BStablefiguresbold">
    <w:name w:val="BS_table figures bold"/>
    <w:basedOn w:val="BStablefigures"/>
    <w:qFormat/>
    <w:rsid w:val="00C72836"/>
    <w:rPr>
      <w:b/>
    </w:rPr>
  </w:style>
  <w:style w:type="paragraph" w:styleId="Title">
    <w:name w:val="Title"/>
    <w:basedOn w:val="Normal"/>
    <w:link w:val="TitleChar"/>
    <w:uiPriority w:val="10"/>
    <w:qFormat/>
    <w:rsid w:val="007F794C"/>
    <w:pPr>
      <w:spacing w:after="120" w:line="680" w:lineRule="exact"/>
    </w:pPr>
    <w:rPr>
      <w:rFonts w:cs="Times New Roman"/>
      <w:caps/>
      <w:color w:val="AB4399"/>
      <w:w w:val="110"/>
      <w:sz w:val="72"/>
      <w:szCs w:val="72"/>
      <w:lang w:eastAsia="en-AU"/>
    </w:rPr>
  </w:style>
  <w:style w:type="character" w:customStyle="1" w:styleId="TitleChar">
    <w:name w:val="Title Char"/>
    <w:basedOn w:val="DefaultParagraphFont"/>
    <w:link w:val="Title"/>
    <w:uiPriority w:val="10"/>
    <w:rsid w:val="007F794C"/>
    <w:rPr>
      <w:rFonts w:cs="Times New Roman"/>
      <w:caps/>
      <w:color w:val="AB4399"/>
      <w:w w:val="110"/>
      <w:sz w:val="72"/>
      <w:szCs w:val="72"/>
      <w:lang w:eastAsia="en-AU"/>
    </w:rPr>
  </w:style>
  <w:style w:type="paragraph" w:customStyle="1" w:styleId="Intro">
    <w:name w:val="Intro"/>
    <w:basedOn w:val="Normal"/>
    <w:rsid w:val="007F794C"/>
    <w:pPr>
      <w:spacing w:after="200" w:line="300" w:lineRule="exact"/>
    </w:pPr>
    <w:rPr>
      <w:rFonts w:cs="Times New Roman"/>
      <w:color w:val="E7E6E6" w:themeColor="background2"/>
      <w:w w:val="110"/>
      <w:sz w:val="25"/>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85623">
      <w:bodyDiv w:val="1"/>
      <w:marLeft w:val="0"/>
      <w:marRight w:val="0"/>
      <w:marTop w:val="0"/>
      <w:marBottom w:val="0"/>
      <w:divBdr>
        <w:top w:val="none" w:sz="0" w:space="0" w:color="auto"/>
        <w:left w:val="none" w:sz="0" w:space="0" w:color="auto"/>
        <w:bottom w:val="none" w:sz="0" w:space="0" w:color="auto"/>
        <w:right w:val="none" w:sz="0" w:space="0" w:color="auto"/>
      </w:divBdr>
    </w:div>
    <w:div w:id="633295809">
      <w:bodyDiv w:val="1"/>
      <w:marLeft w:val="0"/>
      <w:marRight w:val="0"/>
      <w:marTop w:val="0"/>
      <w:marBottom w:val="0"/>
      <w:divBdr>
        <w:top w:val="none" w:sz="0" w:space="0" w:color="auto"/>
        <w:left w:val="none" w:sz="0" w:space="0" w:color="auto"/>
        <w:bottom w:val="none" w:sz="0" w:space="0" w:color="auto"/>
        <w:right w:val="none" w:sz="0" w:space="0" w:color="auto"/>
      </w:divBdr>
    </w:div>
    <w:div w:id="1062486031">
      <w:bodyDiv w:val="1"/>
      <w:marLeft w:val="0"/>
      <w:marRight w:val="0"/>
      <w:marTop w:val="0"/>
      <w:marBottom w:val="0"/>
      <w:divBdr>
        <w:top w:val="none" w:sz="0" w:space="0" w:color="auto"/>
        <w:left w:val="none" w:sz="0" w:space="0" w:color="auto"/>
        <w:bottom w:val="none" w:sz="0" w:space="0" w:color="auto"/>
        <w:right w:val="none" w:sz="0" w:space="0" w:color="auto"/>
      </w:divBdr>
    </w:div>
    <w:div w:id="1100835521">
      <w:bodyDiv w:val="1"/>
      <w:marLeft w:val="0"/>
      <w:marRight w:val="0"/>
      <w:marTop w:val="0"/>
      <w:marBottom w:val="0"/>
      <w:divBdr>
        <w:top w:val="none" w:sz="0" w:space="0" w:color="auto"/>
        <w:left w:val="none" w:sz="0" w:space="0" w:color="auto"/>
        <w:bottom w:val="none" w:sz="0" w:space="0" w:color="auto"/>
        <w:right w:val="none" w:sz="0" w:space="0" w:color="auto"/>
      </w:divBdr>
    </w:div>
    <w:div w:id="1205868245">
      <w:bodyDiv w:val="1"/>
      <w:marLeft w:val="0"/>
      <w:marRight w:val="0"/>
      <w:marTop w:val="0"/>
      <w:marBottom w:val="0"/>
      <w:divBdr>
        <w:top w:val="none" w:sz="0" w:space="0" w:color="auto"/>
        <w:left w:val="none" w:sz="0" w:space="0" w:color="auto"/>
        <w:bottom w:val="none" w:sz="0" w:space="0" w:color="auto"/>
        <w:right w:val="none" w:sz="0" w:space="0" w:color="auto"/>
      </w:divBdr>
    </w:div>
    <w:div w:id="17803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act.gov.au/smartforms/servlet/SmartForm.html?formCode=1548&amp;appType=Electricity" TargetMode="External"/><Relationship Id="rId18" Type="http://schemas.openxmlformats.org/officeDocument/2006/relationships/hyperlink" Target="https://www.revenue.act.gov.au/payroll-tax/deferra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www.revenue.act.gov.au/payroll-tax/deferral" TargetMode="External"/><Relationship Id="rId2" Type="http://schemas.openxmlformats.org/officeDocument/2006/relationships/customXml" Target="../customXml/item2.xml"/><Relationship Id="rId16" Type="http://schemas.openxmlformats.org/officeDocument/2006/relationships/hyperlink" Target="https://form.act.gov.au/smartforms/servlet/SmartForm.html?formCode=1538" TargetMode="External"/><Relationship Id="rId20" Type="http://schemas.openxmlformats.org/officeDocument/2006/relationships/hyperlink" Target="https://www.revenue.act.gov.au/covid-19-assistance/land-tax-credit-appl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evenue.act.gov.au/covid-19-assistan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venue.act.gov.au/covid-19-assistance/rates-deferral-covid-19-hardship-application-for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ebtmanagement@act.gov.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B786E4D41971409087AC9086949FCE" ma:contentTypeVersion="3" ma:contentTypeDescription="Create a new document." ma:contentTypeScope="" ma:versionID="955b1b3bc83b5a7c71e6f6aa2b042a48">
  <xsd:schema xmlns:xsd="http://www.w3.org/2001/XMLSchema" xmlns:xs="http://www.w3.org/2001/XMLSchema" xmlns:p="http://schemas.microsoft.com/office/2006/metadata/properties" xmlns:ns3="1a74f72d-646a-46b0-99ea-6bcf164326b0" targetNamespace="http://schemas.microsoft.com/office/2006/metadata/properties" ma:root="true" ma:fieldsID="e0f8a273ff70cd6a215167378395d45f" ns3:_="">
    <xsd:import namespace="1a74f72d-646a-46b0-99ea-6bcf164326b0"/>
    <xsd:element name="properties">
      <xsd:complexType>
        <xsd:sequence>
          <xsd:element name="documentManagement">
            <xsd:complexType>
              <xsd:all>
                <xsd:element ref="ns3:SharedWithUser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74f72d-646a-46b0-99ea-6bcf164326b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BAFF5-B628-4F45-8CFB-87C28A728BA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a74f72d-646a-46b0-99ea-6bcf164326b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DC1ED44-7F60-4643-8E9C-F40302D4B44D}">
  <ds:schemaRefs>
    <ds:schemaRef ds:uri="http://schemas.microsoft.com/sharepoint/v3/contenttype/forms"/>
  </ds:schemaRefs>
</ds:datastoreItem>
</file>

<file path=customXml/itemProps3.xml><?xml version="1.0" encoding="utf-8"?>
<ds:datastoreItem xmlns:ds="http://schemas.openxmlformats.org/officeDocument/2006/customXml" ds:itemID="{1F119147-06A5-4728-B470-BF367E573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74f72d-646a-46b0-99ea-6bcf16432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E6D51B-129B-4BD7-9105-CF5E04C9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5876</Words>
  <Characters>33498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ACT Economic Survival and Recovery Initiatives</vt:lpstr>
    </vt:vector>
  </TitlesOfParts>
  <Company>Chief Minister, Treasury and Economic Development Directorate, ACT Government</Company>
  <LinksUpToDate>false</LinksUpToDate>
  <CharactersWithSpaces>39296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 Economic Survival and Recovery Initiatives</dc:title>
  <dc:subject>ACT Economic Survival and Recovery Initiatives</dc:subject>
  <dc:creator>ACT Government</dc:creator>
  <cp:keywords/>
  <dc:description/>
  <cp:lastModifiedBy>Maniacherry, Ponnu</cp:lastModifiedBy>
  <cp:revision>5</cp:revision>
  <cp:lastPrinted>2020-06-25T04:29:00Z</cp:lastPrinted>
  <dcterms:created xsi:type="dcterms:W3CDTF">2020-06-25T04:29:00Z</dcterms:created>
  <dcterms:modified xsi:type="dcterms:W3CDTF">2020-06-25T06:14:00Z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0x010100C9B786E4D41971409087AC9086949FCE</vt:lpwstr>
  </property>
</Properties>
</file>